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center"/>
      </w:pPr>
      <w:r>
        <w:t>美股技术风险监控报告</w:t>
      </w:r>
    </w:p>
    <w:p>
      <w:pPr>
        <w:jc w:val="center"/>
      </w:pPr>
      <w:r>
        <w:t>报告日期：2026-09-28</w:t>
      </w:r>
    </w:p>
    <w:p>
      <w:pPr>
        <w:pStyle w:val="Heading2"/>
      </w:pPr>
      <w:r>
        <w:t>一、总体风险排名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b/>
              </w:rPr>
              <w:t>股票</w:t>
            </w:r>
          </w:p>
        </w:tc>
        <w:tc>
          <w:tcPr>
            <w:tcW w:type="dxa" w:w="1440"/>
          </w:tcPr>
          <w:p>
            <w:r>
              <w:rPr>
                <w:b/>
              </w:rPr>
              <w:t>趋势状态</w:t>
            </w:r>
          </w:p>
        </w:tc>
        <w:tc>
          <w:tcPr>
            <w:tcW w:type="dxa" w:w="1440"/>
          </w:tcPr>
          <w:p>
            <w:r>
              <w:rPr>
                <w:b/>
              </w:rPr>
              <w:t>风险评分</w:t>
            </w:r>
          </w:p>
        </w:tc>
        <w:tc>
          <w:tcPr>
            <w:tcW w:type="dxa" w:w="1440"/>
          </w:tcPr>
          <w:p>
            <w:r>
              <w:rPr>
                <w:b/>
              </w:rPr>
              <w:t>风险等级</w:t>
            </w:r>
          </w:p>
        </w:tc>
        <w:tc>
          <w:tcPr>
            <w:tcW w:type="dxa" w:w="1440"/>
          </w:tcPr>
          <w:p>
            <w:r>
              <w:rPr>
                <w:b/>
              </w:rPr>
              <w:t>当前价格</w:t>
            </w:r>
          </w:p>
        </w:tc>
        <w:tc>
          <w:tcPr>
            <w:tcW w:type="dxa" w:w="1440"/>
          </w:tcPr>
          <w:p>
            <w:r>
              <w:rPr>
                <w:b/>
              </w:rPr>
              <w:t>主要风险</w:t>
            </w:r>
          </w:p>
        </w:tc>
      </w:tr>
      <w:tr>
        <w:tc>
          <w:tcPr>
            <w:tcW w:type="dxa" w:w="1440"/>
          </w:tcPr>
          <w:p>
            <w:r>
              <w:t>CRCL</w:t>
            </w:r>
          </w:p>
        </w:tc>
        <w:tc>
          <w:tcPr>
            <w:tcW w:type="dxa" w:w="1440"/>
          </w:tcPr>
          <w:p>
            <w:r>
              <w:t>上升趋势(7)</w:t>
            </w:r>
          </w:p>
        </w:tc>
        <w:tc>
          <w:tcPr>
            <w:tcW w:type="dxa" w:w="1440"/>
          </w:tcPr>
          <w:p>
            <w:r>
              <w:t>7</w:t>
            </w:r>
          </w:p>
        </w:tc>
        <w:tc>
          <w:tcPr>
            <w:tcW w:type="dxa" w:w="1440"/>
          </w:tcPr>
          <w:p>
            <w:r>
              <w:t>明显下跌风险</w:t>
            </w:r>
          </w:p>
        </w:tc>
        <w:tc>
          <w:tcPr>
            <w:tcW w:type="dxa" w:w="1440"/>
          </w:tcPr>
          <w:p>
            <w:r>
              <w:t>85.80</w:t>
            </w:r>
          </w:p>
        </w:tc>
        <w:tc>
          <w:tcPr>
            <w:tcW w:type="dxa" w:w="1440"/>
          </w:tcPr>
          <w:p>
            <w:r>
              <w:t>KDJ死叉；RSI多头结构破坏；RSI12跌破50；跌破20日均线</w:t>
            </w:r>
          </w:p>
        </w:tc>
      </w:tr>
      <w:tr>
        <w:tc>
          <w:tcPr>
            <w:tcW w:type="dxa" w:w="1440"/>
          </w:tcPr>
          <w:p>
            <w:r>
              <w:t>OPTX</w:t>
            </w:r>
          </w:p>
        </w:tc>
        <w:tc>
          <w:tcPr>
            <w:tcW w:type="dxa" w:w="1440"/>
          </w:tcPr>
          <w:p>
            <w:r>
              <w:t>非上升趋势(1)</w:t>
            </w:r>
          </w:p>
        </w:tc>
        <w:tc>
          <w:tcPr>
            <w:tcW w:type="dxa" w:w="1440"/>
          </w:tcPr>
          <w:p>
            <w:r>
              <w:t>0</w:t>
            </w:r>
          </w:p>
        </w:tc>
        <w:tc>
          <w:tcPr>
            <w:tcW w:type="dxa" w:w="1440"/>
          </w:tcPr>
          <w:p>
            <w:r>
              <w:t>非上升趋势，跳过过热见顶评分</w:t>
            </w:r>
          </w:p>
        </w:tc>
        <w:tc>
          <w:tcPr>
            <w:tcW w:type="dxa" w:w="1440"/>
          </w:tcPr>
          <w:p>
            <w:r>
              <w:t>7.09</w:t>
            </w:r>
          </w:p>
        </w:tc>
        <w:tc>
          <w:tcPr>
            <w:tcW w:type="dxa" w:w="1440"/>
          </w:tcPr>
          <w:p>
            <w:r>
              <w:t>非上升趋势：不按过热见顶模型触发</w:t>
            </w:r>
          </w:p>
        </w:tc>
      </w:tr>
      <w:tr>
        <w:tc>
          <w:tcPr>
            <w:tcW w:type="dxa" w:w="1440"/>
          </w:tcPr>
          <w:p>
            <w:r>
              <w:t>ASTS</w:t>
            </w:r>
          </w:p>
        </w:tc>
        <w:tc>
          <w:tcPr>
            <w:tcW w:type="dxa" w:w="1440"/>
          </w:tcPr>
          <w:p>
            <w:r>
              <w:t>非上升趋势(2)</w:t>
            </w:r>
          </w:p>
        </w:tc>
        <w:tc>
          <w:tcPr>
            <w:tcW w:type="dxa" w:w="1440"/>
          </w:tcPr>
          <w:p>
            <w:r>
              <w:t>0</w:t>
            </w:r>
          </w:p>
        </w:tc>
        <w:tc>
          <w:tcPr>
            <w:tcW w:type="dxa" w:w="1440"/>
          </w:tcPr>
          <w:p>
            <w:r>
              <w:t>非上升趋势，跳过过热见顶评分</w:t>
            </w:r>
          </w:p>
        </w:tc>
        <w:tc>
          <w:tcPr>
            <w:tcW w:type="dxa" w:w="1440"/>
          </w:tcPr>
          <w:p>
            <w:r>
              <w:t>61.00</w:t>
            </w:r>
          </w:p>
        </w:tc>
        <w:tc>
          <w:tcPr>
            <w:tcW w:type="dxa" w:w="1440"/>
          </w:tcPr>
          <w:p>
            <w:r>
              <w:t>非上升趋势：不按过热见顶模型触发</w:t>
            </w:r>
          </w:p>
        </w:tc>
      </w:tr>
      <w:tr>
        <w:tc>
          <w:tcPr>
            <w:tcW w:type="dxa" w:w="1440"/>
          </w:tcPr>
          <w:p>
            <w:r>
              <w:t>CRWV</w:t>
            </w:r>
          </w:p>
        </w:tc>
        <w:tc>
          <w:tcPr>
            <w:tcW w:type="dxa" w:w="1440"/>
          </w:tcPr>
          <w:p>
            <w:r>
              <w:t>趋势修复/震荡偏强(5)</w:t>
            </w:r>
          </w:p>
        </w:tc>
        <w:tc>
          <w:tcPr>
            <w:tcW w:type="dxa" w:w="1440"/>
          </w:tcPr>
          <w:p>
            <w:r>
              <w:t>0</w:t>
            </w:r>
          </w:p>
        </w:tc>
        <w:tc>
          <w:tcPr>
            <w:tcW w:type="dxa" w:w="1440"/>
          </w:tcPr>
          <w:p>
            <w:r>
              <w:t>非上升趋势，跳过过热见顶评分</w:t>
            </w:r>
          </w:p>
        </w:tc>
        <w:tc>
          <w:tcPr>
            <w:tcW w:type="dxa" w:w="1440"/>
          </w:tcPr>
          <w:p>
            <w:r>
              <w:t>85.07</w:t>
            </w:r>
          </w:p>
        </w:tc>
        <w:tc>
          <w:tcPr>
            <w:tcW w:type="dxa" w:w="1440"/>
          </w:tcPr>
          <w:p>
            <w:r>
              <w:t>趋势修复/震荡偏强：不按过热见顶模型触发</w:t>
            </w:r>
          </w:p>
        </w:tc>
      </w:tr>
      <w:tr>
        <w:tc>
          <w:tcPr>
            <w:tcW w:type="dxa" w:w="1440"/>
          </w:tcPr>
          <w:p>
            <w:r>
              <w:t>FLY</w:t>
            </w:r>
          </w:p>
        </w:tc>
        <w:tc>
          <w:tcPr>
            <w:tcW w:type="dxa" w:w="1440"/>
          </w:tcPr>
          <w:p>
            <w:r>
              <w:t>趋势修复/震荡偏强(4)</w:t>
            </w:r>
          </w:p>
        </w:tc>
        <w:tc>
          <w:tcPr>
            <w:tcW w:type="dxa" w:w="1440"/>
          </w:tcPr>
          <w:p>
            <w:r>
              <w:t>0</w:t>
            </w:r>
          </w:p>
        </w:tc>
        <w:tc>
          <w:tcPr>
            <w:tcW w:type="dxa" w:w="1440"/>
          </w:tcPr>
          <w:p>
            <w:r>
              <w:t>非上升趋势，跳过过热见顶评分</w:t>
            </w:r>
          </w:p>
        </w:tc>
        <w:tc>
          <w:tcPr>
            <w:tcW w:type="dxa" w:w="1440"/>
          </w:tcPr>
          <w:p>
            <w:r>
              <w:t>24.11</w:t>
            </w:r>
          </w:p>
        </w:tc>
        <w:tc>
          <w:tcPr>
            <w:tcW w:type="dxa" w:w="1440"/>
          </w:tcPr>
          <w:p>
            <w:r>
              <w:t>趋势修复/震荡偏强：不按过热见顶模型触发</w:t>
            </w:r>
          </w:p>
        </w:tc>
      </w:tr>
      <w:tr>
        <w:tc>
          <w:tcPr>
            <w:tcW w:type="dxa" w:w="1440"/>
          </w:tcPr>
          <w:p>
            <w:r>
              <w:t>AAOI</w:t>
            </w:r>
          </w:p>
        </w:tc>
        <w:tc>
          <w:tcPr>
            <w:tcW w:type="dxa" w:w="1440"/>
          </w:tcPr>
          <w:p>
            <w:r>
              <w:t>非上升趋势(1)</w:t>
            </w:r>
          </w:p>
        </w:tc>
        <w:tc>
          <w:tcPr>
            <w:tcW w:type="dxa" w:w="1440"/>
          </w:tcPr>
          <w:p>
            <w:r>
              <w:t>0</w:t>
            </w:r>
          </w:p>
        </w:tc>
        <w:tc>
          <w:tcPr>
            <w:tcW w:type="dxa" w:w="1440"/>
          </w:tcPr>
          <w:p>
            <w:r>
              <w:t>非上升趋势，跳过过热见顶评分</w:t>
            </w:r>
          </w:p>
        </w:tc>
        <w:tc>
          <w:tcPr>
            <w:tcW w:type="dxa" w:w="1440"/>
          </w:tcPr>
          <w:p>
            <w:r>
              <w:t>96.82</w:t>
            </w:r>
          </w:p>
        </w:tc>
        <w:tc>
          <w:tcPr>
            <w:tcW w:type="dxa" w:w="1440"/>
          </w:tcPr>
          <w:p>
            <w:r>
              <w:t>非上升趋势：不按过热见顶模型触发</w:t>
            </w:r>
          </w:p>
        </w:tc>
      </w:tr>
      <w:tr>
        <w:tc>
          <w:tcPr>
            <w:tcW w:type="dxa" w:w="1440"/>
          </w:tcPr>
          <w:p>
            <w:r>
              <w:t>LUNR</w:t>
            </w:r>
          </w:p>
        </w:tc>
        <w:tc>
          <w:tcPr>
            <w:tcW w:type="dxa" w:w="1440"/>
          </w:tcPr>
          <w:p>
            <w:r>
              <w:t>非上升趋势(1)</w:t>
            </w:r>
          </w:p>
        </w:tc>
        <w:tc>
          <w:tcPr>
            <w:tcW w:type="dxa" w:w="1440"/>
          </w:tcPr>
          <w:p>
            <w:r>
              <w:t>0</w:t>
            </w:r>
          </w:p>
        </w:tc>
        <w:tc>
          <w:tcPr>
            <w:tcW w:type="dxa" w:w="1440"/>
          </w:tcPr>
          <w:p>
            <w:r>
              <w:t>非上升趋势，跳过过热见顶评分</w:t>
            </w:r>
          </w:p>
        </w:tc>
        <w:tc>
          <w:tcPr>
            <w:tcW w:type="dxa" w:w="1440"/>
          </w:tcPr>
          <w:p>
            <w:r>
              <w:t>15.20</w:t>
            </w:r>
          </w:p>
        </w:tc>
        <w:tc>
          <w:tcPr>
            <w:tcW w:type="dxa" w:w="1440"/>
          </w:tcPr>
          <w:p>
            <w:r>
              <w:t>非上升趋势：不按过热见顶模型触发</w:t>
            </w:r>
          </w:p>
        </w:tc>
      </w:tr>
      <w:tr>
        <w:tc>
          <w:tcPr>
            <w:tcW w:type="dxa" w:w="1440"/>
          </w:tcPr>
          <w:p>
            <w:r>
              <w:t>ONDS</w:t>
            </w:r>
          </w:p>
        </w:tc>
        <w:tc>
          <w:tcPr>
            <w:tcW w:type="dxa" w:w="1440"/>
          </w:tcPr>
          <w:p>
            <w:r>
              <w:t>非上升趋势(3)</w:t>
            </w:r>
          </w:p>
        </w:tc>
        <w:tc>
          <w:tcPr>
            <w:tcW w:type="dxa" w:w="1440"/>
          </w:tcPr>
          <w:p>
            <w:r>
              <w:t>0</w:t>
            </w:r>
          </w:p>
        </w:tc>
        <w:tc>
          <w:tcPr>
            <w:tcW w:type="dxa" w:w="1440"/>
          </w:tcPr>
          <w:p>
            <w:r>
              <w:t>非上升趋势，跳过过热见顶评分</w:t>
            </w:r>
          </w:p>
        </w:tc>
        <w:tc>
          <w:tcPr>
            <w:tcW w:type="dxa" w:w="1440"/>
          </w:tcPr>
          <w:p>
            <w:r>
              <w:t>7.68</w:t>
            </w:r>
          </w:p>
        </w:tc>
        <w:tc>
          <w:tcPr>
            <w:tcW w:type="dxa" w:w="1440"/>
          </w:tcPr>
          <w:p>
            <w:r>
              <w:t>非上升趋势：不按过热见顶模型触发</w:t>
            </w:r>
          </w:p>
        </w:tc>
      </w:tr>
    </w:tbl>
    <w:p/>
    <w:p>
      <w:pPr>
        <w:pStyle w:val="Heading2"/>
      </w:pPr>
      <w:r>
        <w:t>二、逐股票分析</w:t>
      </w:r>
    </w:p>
    <w:p>
      <w:pPr>
        <w:pStyle w:val="Heading3"/>
      </w:pPr>
      <w:r>
        <w:t>CRCL</w:t>
      </w:r>
    </w:p>
    <w:p>
      <w:r>
        <w:t>当前价格：85.80</w:t>
      </w:r>
    </w:p>
    <w:p>
      <w:r>
        <w:t>趋势过滤：上升趋势；上升趋势评分：7</w:t>
      </w:r>
    </w:p>
    <w:p>
      <w:r>
        <w:t>当前状态：趋势转弱</w:t>
      </w:r>
    </w:p>
    <w:p>
      <w:r>
        <w:t>风险评分：总分 7；风险等级：明显下跌风险</w:t>
      </w:r>
    </w:p>
    <w:p>
      <w:r>
        <w:t>技术指标：</w:t>
      </w:r>
    </w:p>
    <w:p>
      <w:pPr>
        <w:pStyle w:val="ListBullet"/>
      </w:pPr>
      <w:r>
        <w:t>MACD状态：MACD暂无明显转弱</w:t>
      </w:r>
    </w:p>
    <w:p>
      <w:pPr>
        <w:pStyle w:val="ListBullet"/>
      </w:pPr>
      <w:r>
        <w:t>KDJ状态：KDJ死叉</w:t>
      </w:r>
    </w:p>
    <w:p>
      <w:pPr>
        <w:pStyle w:val="ListBullet"/>
      </w:pPr>
      <w:r>
        <w:t>RSI：RSI6=37.7；RSI12=46.5；RSI24=50.3；RSI空头排列；RSI12跌破50</w:t>
      </w:r>
    </w:p>
    <w:p>
      <w:pPr>
        <w:pStyle w:val="ListBullet"/>
      </w:pPr>
      <w:r>
        <w:t>MA20/50/200：MA20=91.93；MA50=80.10；MA200=86.08；跌破MA20；跌破MA200</w:t>
      </w:r>
    </w:p>
    <w:p>
      <w:pPr>
        <w:pStyle w:val="ListBullet"/>
      </w:pPr>
      <w:r>
        <w:t>成交量变化：Volume/MA20=0.64倍；成交量为20日均量的0.64倍</w:t>
      </w:r>
    </w:p>
    <w:p>
      <w:r>
        <w:t>主要风险来源：</w:t>
      </w:r>
    </w:p>
    <w:p>
      <w:pPr>
        <w:pStyle w:val="ListBullet"/>
      </w:pPr>
      <w:r>
        <w:t>KDJ死叉</w:t>
      </w:r>
    </w:p>
    <w:p>
      <w:pPr>
        <w:pStyle w:val="ListBullet"/>
      </w:pPr>
      <w:r>
        <w:t>RSI多头结构破坏</w:t>
      </w:r>
    </w:p>
    <w:p>
      <w:pPr>
        <w:pStyle w:val="ListBullet"/>
      </w:pPr>
      <w:r>
        <w:t>RSI12跌破50</w:t>
      </w:r>
    </w:p>
    <w:p>
      <w:pPr>
        <w:pStyle w:val="ListBullet"/>
      </w:pPr>
      <w:r>
        <w:t>跌破20日均线</w:t>
      </w:r>
    </w:p>
    <w:p>
      <w:pPr>
        <w:pStyle w:val="ListBullet"/>
      </w:pPr>
      <w:r>
        <w:t>跌破200日均线</w:t>
      </w:r>
    </w:p>
    <w:p>
      <w:r>
        <w:t>判断：趋势转弱。MACD暂无明显转弱；KDJ死叉；RSI空头排列；RSI12跌破50。</w:t>
      </w:r>
    </w:p>
    <w:p>
      <w:r>
        <w:t>建议观察位置：当前价格 85.80；MA20 91.93；MA50 80.10；MA200 86.08。若后续有效跌破MA50，趋势进一步恶化的概率上升。</w:t>
      </w:r>
    </w:p>
    <w:p>
      <w:pPr>
        <w:pStyle w:val="Heading3"/>
      </w:pPr>
      <w:r>
        <w:t>OPTX</w:t>
      </w:r>
    </w:p>
    <w:p>
      <w:r>
        <w:t>当前价格：7.09</w:t>
      </w:r>
    </w:p>
    <w:p>
      <w:r>
        <w:t>趋势过滤：非上升趋势；上升趋势评分：1</w:t>
      </w:r>
    </w:p>
    <w:p>
      <w:r>
        <w:t>当前状态：非上升趋势</w:t>
      </w:r>
    </w:p>
    <w:p>
      <w:r>
        <w:t>风险评分：总分 0；风险等级：非上升趋势，跳过过热见顶评分</w:t>
      </w:r>
    </w:p>
    <w:p>
      <w:r>
        <w:t>技术指标：</w:t>
      </w:r>
    </w:p>
    <w:p>
      <w:pPr>
        <w:pStyle w:val="ListBullet"/>
      </w:pPr>
      <w:r>
        <w:t>MACD状态：未进入过热见顶评分</w:t>
      </w:r>
    </w:p>
    <w:p>
      <w:pPr>
        <w:pStyle w:val="ListBullet"/>
      </w:pPr>
      <w:r>
        <w:t>KDJ状态：未进入过热见顶评分</w:t>
      </w:r>
    </w:p>
    <w:p>
      <w:pPr>
        <w:pStyle w:val="ListBullet"/>
      </w:pPr>
      <w:r>
        <w:t>RSI：RSI6=44.8；RSI12=45.5；RSI24=46.0；未进入过热见顶评分</w:t>
      </w:r>
    </w:p>
    <w:p>
      <w:pPr>
        <w:pStyle w:val="ListBullet"/>
      </w:pPr>
      <w:r>
        <w:t>MA20/50/200：MA20=7.28；MA50=7.64；MA200=7.58；MA50高于MA200</w:t>
      </w:r>
    </w:p>
    <w:p>
      <w:pPr>
        <w:pStyle w:val="ListBullet"/>
      </w:pPr>
      <w:r>
        <w:t>成交量变化：Volume/MA20=0.70倍；成交量为20日均量的0.70倍</w:t>
      </w:r>
    </w:p>
    <w:p>
      <w:r>
        <w:t>主要风险来源：</w:t>
      </w:r>
    </w:p>
    <w:p>
      <w:pPr>
        <w:pStyle w:val="ListBullet"/>
      </w:pPr>
      <w:r>
        <w:t>非上升趋势：不按过热见顶模型触发</w:t>
      </w:r>
    </w:p>
    <w:p>
      <w:r>
        <w:t>判断：非上升趋势。未进入过热见顶评分；未进入过热见顶评分；未进入过热见顶评分。</w:t>
      </w:r>
    </w:p>
    <w:p>
      <w:r>
        <w:t>建议观察位置：当前价格 7.09；MA20 7.28；MA50 7.64；MA200 7.58。若后续有效跌破MA50，趋势进一步恶化的概率上升。</w:t>
      </w:r>
    </w:p>
    <w:p>
      <w:pPr>
        <w:pStyle w:val="Heading3"/>
      </w:pPr>
      <w:r>
        <w:t>ASTS</w:t>
      </w:r>
    </w:p>
    <w:p>
      <w:r>
        <w:t>当前价格：61.00</w:t>
      </w:r>
    </w:p>
    <w:p>
      <w:r>
        <w:t>趋势过滤：非上升趋势；上升趋势评分：2</w:t>
      </w:r>
    </w:p>
    <w:p>
      <w:r>
        <w:t>当前状态：非上升趋势</w:t>
      </w:r>
    </w:p>
    <w:p>
      <w:r>
        <w:t>风险评分：总分 0；风险等级：非上升趋势，跳过过热见顶评分</w:t>
      </w:r>
    </w:p>
    <w:p>
      <w:r>
        <w:t>技术指标：</w:t>
      </w:r>
    </w:p>
    <w:p>
      <w:pPr>
        <w:pStyle w:val="ListBullet"/>
      </w:pPr>
      <w:r>
        <w:t>MACD状态：未进入过热见顶评分</w:t>
      </w:r>
    </w:p>
    <w:p>
      <w:pPr>
        <w:pStyle w:val="ListBullet"/>
      </w:pPr>
      <w:r>
        <w:t>KDJ状态：未进入过热见顶评分</w:t>
      </w:r>
    </w:p>
    <w:p>
      <w:pPr>
        <w:pStyle w:val="ListBullet"/>
      </w:pPr>
      <w:r>
        <w:t>RSI：RSI6=49.1；RSI12=48.3；RSI24=47.1；未进入过热见顶评分</w:t>
      </w:r>
    </w:p>
    <w:p>
      <w:pPr>
        <w:pStyle w:val="ListBullet"/>
      </w:pPr>
      <w:r>
        <w:t>MA20/50/200：MA20=60.94；MA50=62.86；MA200=81.47；收盘价站上MA20；近20日收益为正</w:t>
      </w:r>
    </w:p>
    <w:p>
      <w:pPr>
        <w:pStyle w:val="ListBullet"/>
      </w:pPr>
      <w:r>
        <w:t>成交量变化：Volume/MA20=0.77倍；成交量为20日均量的0.77倍</w:t>
      </w:r>
    </w:p>
    <w:p>
      <w:r>
        <w:t>主要风险来源：</w:t>
      </w:r>
    </w:p>
    <w:p>
      <w:pPr>
        <w:pStyle w:val="ListBullet"/>
      </w:pPr>
      <w:r>
        <w:t>非上升趋势：不按过热见顶模型触发</w:t>
      </w:r>
    </w:p>
    <w:p>
      <w:r>
        <w:t>判断：非上升趋势。未进入过热见顶评分；未进入过热见顶评分；未进入过热见顶评分。</w:t>
      </w:r>
    </w:p>
    <w:p>
      <w:r>
        <w:t>建议观察位置：当前价格 61.00；MA20 60.94；MA50 62.86；MA200 81.47。若后续有效跌破MA50，趋势进一步恶化的概率上升。</w:t>
      </w:r>
    </w:p>
    <w:p>
      <w:pPr>
        <w:pStyle w:val="Heading3"/>
      </w:pPr>
      <w:r>
        <w:t>CRWV</w:t>
      </w:r>
    </w:p>
    <w:p>
      <w:r>
        <w:t>当前价格：85.07</w:t>
      </w:r>
    </w:p>
    <w:p>
      <w:r>
        <w:t>趋势过滤：趋势修复/震荡偏强；上升趋势评分：5</w:t>
      </w:r>
    </w:p>
    <w:p>
      <w:r>
        <w:t>当前状态：趋势修复/震荡偏强</w:t>
      </w:r>
    </w:p>
    <w:p>
      <w:r>
        <w:t>风险评分：总分 0；风险等级：非上升趋势，跳过过热见顶评分</w:t>
      </w:r>
    </w:p>
    <w:p>
      <w:r>
        <w:t>技术指标：</w:t>
      </w:r>
    </w:p>
    <w:p>
      <w:pPr>
        <w:pStyle w:val="ListBullet"/>
      </w:pPr>
      <w:r>
        <w:t>MACD状态：未进入过热见顶评分</w:t>
      </w:r>
    </w:p>
    <w:p>
      <w:pPr>
        <w:pStyle w:val="ListBullet"/>
      </w:pPr>
      <w:r>
        <w:t>KDJ状态：未进入过热见顶评分</w:t>
      </w:r>
    </w:p>
    <w:p>
      <w:pPr>
        <w:pStyle w:val="ListBullet"/>
      </w:pPr>
      <w:r>
        <w:t>RSI：RSI6=45.5；RSI12=47.6；RSI24=48.2；未进入过热见顶评分</w:t>
      </w:r>
    </w:p>
    <w:p>
      <w:pPr>
        <w:pStyle w:val="ListBullet"/>
      </w:pPr>
      <w:r>
        <w:t>MA20/50/200：MA20=86.24；MA50=86.00；MA200=92.16；MA20高于MA50；MA50斜率向上；近20日收益为正；近60日收益为正</w:t>
      </w:r>
    </w:p>
    <w:p>
      <w:pPr>
        <w:pStyle w:val="ListBullet"/>
      </w:pPr>
      <w:r>
        <w:t>成交量变化：Volume/MA20=0.67倍；成交量为20日均量的0.67倍</w:t>
      </w:r>
    </w:p>
    <w:p>
      <w:r>
        <w:t>主要风险来源：</w:t>
      </w:r>
    </w:p>
    <w:p>
      <w:pPr>
        <w:pStyle w:val="ListBullet"/>
      </w:pPr>
      <w:r>
        <w:t>趋势修复/震荡偏强：不按过热见顶模型触发</w:t>
      </w:r>
    </w:p>
    <w:p>
      <w:r>
        <w:t>判断：趋势修复/震荡偏强。未进入过热见顶评分；未进入过热见顶评分；未进入过热见顶评分。</w:t>
      </w:r>
    </w:p>
    <w:p>
      <w:r>
        <w:t>建议观察位置：当前价格 85.07；MA20 86.24；MA50 86.00；MA200 92.16。若后续有效跌破MA50，趋势进一步恶化的概率上升。</w:t>
      </w:r>
    </w:p>
    <w:p>
      <w:pPr>
        <w:pStyle w:val="Heading3"/>
      </w:pPr>
      <w:r>
        <w:t>FLY</w:t>
      </w:r>
    </w:p>
    <w:p>
      <w:r>
        <w:t>数据提示：历史数据不足300个交易日，当前仅287个交易日；部分长期均线可能为空。</w:t>
      </w:r>
    </w:p>
    <w:p>
      <w:r>
        <w:t>当前价格：24.11</w:t>
      </w:r>
    </w:p>
    <w:p>
      <w:r>
        <w:t>趋势过滤：趋势修复/震荡偏强；上升趋势评分：4</w:t>
      </w:r>
    </w:p>
    <w:p>
      <w:r>
        <w:t>当前状态：趋势修复/震荡偏强</w:t>
      </w:r>
    </w:p>
    <w:p>
      <w:r>
        <w:t>风险评分：总分 0；风险等级：非上升趋势，跳过过热见顶评分</w:t>
      </w:r>
    </w:p>
    <w:p>
      <w:r>
        <w:t>技术指标：</w:t>
      </w:r>
    </w:p>
    <w:p>
      <w:pPr>
        <w:pStyle w:val="ListBullet"/>
      </w:pPr>
      <w:r>
        <w:t>MACD状态：未进入过热见顶评分</w:t>
      </w:r>
    </w:p>
    <w:p>
      <w:pPr>
        <w:pStyle w:val="ListBullet"/>
      </w:pPr>
      <w:r>
        <w:t>KDJ状态：未进入过热见顶评分</w:t>
      </w:r>
    </w:p>
    <w:p>
      <w:pPr>
        <w:pStyle w:val="ListBullet"/>
      </w:pPr>
      <w:r>
        <w:t>RSI：RSI6=65.4；RSI12=58.5；RSI24=51.6；未进入过热见顶评分</w:t>
      </w:r>
    </w:p>
    <w:p>
      <w:pPr>
        <w:pStyle w:val="ListBullet"/>
      </w:pPr>
      <w:r>
        <w:t>MA20/50/200：MA20=21.84；MA50=22.49；MA200=27.82；收盘价站上MA20；收盘价站上MA50；近20日收益为正</w:t>
      </w:r>
    </w:p>
    <w:p>
      <w:pPr>
        <w:pStyle w:val="ListBullet"/>
      </w:pPr>
      <w:r>
        <w:t>成交量变化：Volume/MA20=1.20倍；成交量为20日均量的1.20倍</w:t>
      </w:r>
    </w:p>
    <w:p>
      <w:r>
        <w:t>主要风险来源：</w:t>
      </w:r>
    </w:p>
    <w:p>
      <w:pPr>
        <w:pStyle w:val="ListBullet"/>
      </w:pPr>
      <w:r>
        <w:t>趋势修复/震荡偏强：不按过热见顶模型触发</w:t>
      </w:r>
    </w:p>
    <w:p>
      <w:r>
        <w:t>判断：趋势修复/震荡偏强。未进入过热见顶评分；未进入过热见顶评分；未进入过热见顶评分。</w:t>
      </w:r>
    </w:p>
    <w:p>
      <w:r>
        <w:t>建议观察位置：当前价格 24.11；MA20 21.84；MA50 22.49；MA200 27.82。若后续有效跌破MA50，趋势进一步恶化的概率上升。</w:t>
      </w:r>
    </w:p>
    <w:p>
      <w:pPr>
        <w:pStyle w:val="Heading3"/>
      </w:pPr>
      <w:r>
        <w:t>AAOI</w:t>
      </w:r>
    </w:p>
    <w:p>
      <w:r>
        <w:t>当前价格：96.82</w:t>
      </w:r>
    </w:p>
    <w:p>
      <w:r>
        <w:t>趋势过滤：非上升趋势；上升趋势评分：1</w:t>
      </w:r>
    </w:p>
    <w:p>
      <w:r>
        <w:t>当前状态：非上升趋势</w:t>
      </w:r>
    </w:p>
    <w:p>
      <w:r>
        <w:t>风险评分：总分 0；风险等级：非上升趋势，跳过过热见顶评分</w:t>
      </w:r>
    </w:p>
    <w:p>
      <w:r>
        <w:t>技术指标：</w:t>
      </w:r>
    </w:p>
    <w:p>
      <w:pPr>
        <w:pStyle w:val="ListBullet"/>
      </w:pPr>
      <w:r>
        <w:t>MACD状态：未进入过热见顶评分</w:t>
      </w:r>
    </w:p>
    <w:p>
      <w:pPr>
        <w:pStyle w:val="ListBullet"/>
      </w:pPr>
      <w:r>
        <w:t>KDJ状态：未进入过热见顶评分</w:t>
      </w:r>
    </w:p>
    <w:p>
      <w:pPr>
        <w:pStyle w:val="ListBullet"/>
      </w:pPr>
      <w:r>
        <w:t>RSI：RSI6=33.6；RSI12=40.3；RSI24=44.0；未进入过热见顶评分</w:t>
      </w:r>
    </w:p>
    <w:p>
      <w:pPr>
        <w:pStyle w:val="ListBullet"/>
      </w:pPr>
      <w:r>
        <w:t>MA20/50/200：MA20=102.76；MA50=111.59；MA200=107.34；MA50高于MA200</w:t>
      </w:r>
    </w:p>
    <w:p>
      <w:pPr>
        <w:pStyle w:val="ListBullet"/>
      </w:pPr>
      <w:r>
        <w:t>成交量变化：Volume/MA20=1.21倍；成交量为20日均量的1.21倍</w:t>
      </w:r>
    </w:p>
    <w:p>
      <w:r>
        <w:t>主要风险来源：</w:t>
      </w:r>
    </w:p>
    <w:p>
      <w:pPr>
        <w:pStyle w:val="ListBullet"/>
      </w:pPr>
      <w:r>
        <w:t>非上升趋势：不按过热见顶模型触发</w:t>
      </w:r>
    </w:p>
    <w:p>
      <w:r>
        <w:t>判断：非上升趋势。未进入过热见顶评分；未进入过热见顶评分；未进入过热见顶评分。</w:t>
      </w:r>
    </w:p>
    <w:p>
      <w:r>
        <w:t>建议观察位置：当前价格 96.82；MA20 102.76；MA50 111.59；MA200 107.34。若后续有效跌破MA50，趋势进一步恶化的概率上升。</w:t>
      </w:r>
    </w:p>
    <w:p>
      <w:pPr>
        <w:pStyle w:val="Heading3"/>
      </w:pPr>
      <w:r>
        <w:t>LUNR</w:t>
      </w:r>
    </w:p>
    <w:p>
      <w:r>
        <w:t>当前价格：15.20</w:t>
      </w:r>
    </w:p>
    <w:p>
      <w:r>
        <w:t>趋势过滤：非上升趋势；上升趋势评分：1</w:t>
      </w:r>
    </w:p>
    <w:p>
      <w:r>
        <w:t>当前状态：非上升趋势</w:t>
      </w:r>
    </w:p>
    <w:p>
      <w:r>
        <w:t>风险评分：总分 0；风险等级：非上升趋势，跳过过热见顶评分</w:t>
      </w:r>
    </w:p>
    <w:p>
      <w:r>
        <w:t>技术指标：</w:t>
      </w:r>
    </w:p>
    <w:p>
      <w:pPr>
        <w:pStyle w:val="ListBullet"/>
      </w:pPr>
      <w:r>
        <w:t>MACD状态：未进入过热见顶评分</w:t>
      </w:r>
    </w:p>
    <w:p>
      <w:pPr>
        <w:pStyle w:val="ListBullet"/>
      </w:pPr>
      <w:r>
        <w:t>KDJ状态：未进入过热见顶评分</w:t>
      </w:r>
    </w:p>
    <w:p>
      <w:pPr>
        <w:pStyle w:val="ListBullet"/>
      </w:pPr>
      <w:r>
        <w:t>RSI：RSI6=49.7；RSI12=49.1；RSI24=46.8；未进入过热见顶评分</w:t>
      </w:r>
    </w:p>
    <w:p>
      <w:pPr>
        <w:pStyle w:val="ListBullet"/>
      </w:pPr>
      <w:r>
        <w:t>MA20/50/200：MA20=14.90；MA50=15.25；MA200=20.17；收盘价站上MA20</w:t>
      </w:r>
    </w:p>
    <w:p>
      <w:pPr>
        <w:pStyle w:val="ListBullet"/>
      </w:pPr>
      <w:r>
        <w:t>成交量变化：Volume/MA20=1.08倍；成交量为20日均量的1.08倍</w:t>
      </w:r>
    </w:p>
    <w:p>
      <w:r>
        <w:t>主要风险来源：</w:t>
      </w:r>
    </w:p>
    <w:p>
      <w:pPr>
        <w:pStyle w:val="ListBullet"/>
      </w:pPr>
      <w:r>
        <w:t>非上升趋势：不按过热见顶模型触发</w:t>
      </w:r>
    </w:p>
    <w:p>
      <w:r>
        <w:t>判断：非上升趋势。未进入过热见顶评分；未进入过热见顶评分；未进入过热见顶评分。</w:t>
      </w:r>
    </w:p>
    <w:p>
      <w:r>
        <w:t>建议观察位置：当前价格 15.20；MA20 14.90；MA50 15.25；MA200 20.17。若后续有效跌破MA50，趋势进一步恶化的概率上升。</w:t>
      </w:r>
    </w:p>
    <w:p>
      <w:pPr>
        <w:pStyle w:val="Heading3"/>
      </w:pPr>
      <w:r>
        <w:t>ONDS</w:t>
      </w:r>
    </w:p>
    <w:p>
      <w:r>
        <w:t>当前价格：7.68</w:t>
      </w:r>
    </w:p>
    <w:p>
      <w:r>
        <w:t>趋势过滤：非上升趋势；上升趋势评分：3</w:t>
      </w:r>
    </w:p>
    <w:p>
      <w:r>
        <w:t>当前状态：非上升趋势</w:t>
      </w:r>
    </w:p>
    <w:p>
      <w:r>
        <w:t>风险评分：总分 0；风险等级：非上升趋势，跳过过热见顶评分</w:t>
      </w:r>
    </w:p>
    <w:p>
      <w:r>
        <w:t>技术指标：</w:t>
      </w:r>
    </w:p>
    <w:p>
      <w:pPr>
        <w:pStyle w:val="ListBullet"/>
      </w:pPr>
      <w:r>
        <w:t>MACD状态：未进入过热见顶评分</w:t>
      </w:r>
    </w:p>
    <w:p>
      <w:pPr>
        <w:pStyle w:val="ListBullet"/>
      </w:pPr>
      <w:r>
        <w:t>KDJ状态：未进入过热见顶评分</w:t>
      </w:r>
    </w:p>
    <w:p>
      <w:pPr>
        <w:pStyle w:val="ListBullet"/>
      </w:pPr>
      <w:r>
        <w:t>RSI：RSI6=60.9；RSI12=50.8；RSI24=47.8；未进入过热见顶评分</w:t>
      </w:r>
    </w:p>
    <w:p>
      <w:pPr>
        <w:pStyle w:val="ListBullet"/>
      </w:pPr>
      <w:r>
        <w:t>MA20/50/200：MA20=7.44；MA50=8.02；MA200=9.47；收盘价站上MA20；MA50斜率向上；近60日收益为正</w:t>
      </w:r>
    </w:p>
    <w:p>
      <w:pPr>
        <w:pStyle w:val="ListBullet"/>
      </w:pPr>
      <w:r>
        <w:t>成交量变化：Volume/MA20=0.83倍；成交量为20日均量的0.83倍</w:t>
      </w:r>
    </w:p>
    <w:p>
      <w:r>
        <w:t>主要风险来源：</w:t>
      </w:r>
    </w:p>
    <w:p>
      <w:pPr>
        <w:pStyle w:val="ListBullet"/>
      </w:pPr>
      <w:r>
        <w:t>非上升趋势：不按过热见顶模型触发</w:t>
      </w:r>
    </w:p>
    <w:p>
      <w:r>
        <w:t>判断：非上升趋势。未进入过热见顶评分；未进入过热见顶评分；未进入过热见顶评分。</w:t>
      </w:r>
    </w:p>
    <w:p>
      <w:r>
        <w:t>建议观察位置：当前价格 7.68；MA20 7.44；MA50 8.02；MA200 9.47。若后续有效跌破MA50，趋势进一步恶化的概率上升。</w:t>
      </w:r>
    </w:p>
    <w:p>
      <w:r>
        <w:t>本报告仅用于技术指标监控和公开行情数据整理，不构成任何投资建议。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YaHei" w:hAnsi="Microsoft YaHe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