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- 2026-10-02</w:t>
      </w:r>
    </w:p>
    <w:p>
      <w:pPr>
        <w:pStyle w:val="ListBullet"/>
      </w:pPr>
      <w:r>
        <w:t>生成时间（美东）：2026-10-04 22:03:46 EDT</w:t>
      </w:r>
    </w:p>
    <w:p>
      <w:pPr>
        <w:pStyle w:val="ListBullet"/>
      </w:pPr>
      <w:r>
        <w:t>最新可用交易日：2026-10-02</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OPTX</w:t>
            </w:r>
          </w:p>
        </w:tc>
        <w:tc>
          <w:tcPr>
            <w:tcW w:type="dxa" w:w="960"/>
          </w:tcPr>
          <w:p>
            <w:r>
              <w:t>Syntec Optics Holdings</w:t>
            </w:r>
          </w:p>
        </w:tc>
        <w:tc>
          <w:tcPr>
            <w:tcW w:type="dxa" w:w="960"/>
          </w:tcPr>
          <w:p>
            <w:r>
              <w:t>A 强信号</w:t>
            </w:r>
          </w:p>
        </w:tc>
        <w:tc>
          <w:tcPr>
            <w:tcW w:type="dxa" w:w="960"/>
          </w:tcPr>
          <w:p>
            <w:r>
              <w:t>布林带向上开口（最近3天）；成交量放大；放量突破上轨-强；中轨反弹并接近上轨</w:t>
            </w:r>
          </w:p>
        </w:tc>
        <w:tc>
          <w:tcPr>
            <w:tcW w:type="dxa" w:w="960"/>
          </w:tcPr>
          <w:p>
            <w:r>
              <w:t>突破上轨</w:t>
            </w:r>
          </w:p>
        </w:tc>
        <w:tc>
          <w:tcPr>
            <w:tcW w:type="dxa" w:w="960"/>
          </w:tcPr>
          <w:p>
            <w:r>
              <w:t>35.38%</w:t>
            </w:r>
          </w:p>
        </w:tc>
        <w:tc>
          <w:tcPr>
            <w:tcW w:type="dxa" w:w="960"/>
          </w:tcPr>
          <w:p>
            <w:r>
              <w:t>1.170</w:t>
            </w:r>
          </w:p>
        </w:tc>
        <w:tc>
          <w:tcPr>
            <w:tcW w:type="dxa" w:w="960"/>
          </w:tcPr>
          <w:p>
            <w:r>
              <w:t>1.82</w:t>
            </w:r>
          </w:p>
        </w:tc>
        <w:tc>
          <w:tcPr>
            <w:tcW w:type="dxa" w:w="960"/>
          </w:tcPr>
          <w:p>
            <w:r>
              <w:t>股价放量突破布林线上轨，说明短线多头动能较强，可能进入强势上涨阶段，但也要注意短线过热和回</w:t>
            </w:r>
          </w:p>
        </w:tc>
      </w:tr>
      <w:tr>
        <w:tc>
          <w:tcPr>
            <w:tcW w:type="dxa" w:w="960"/>
          </w:tcPr>
          <w:p>
            <w:r>
              <w:t>NVTS</w:t>
            </w:r>
          </w:p>
        </w:tc>
        <w:tc>
          <w:tcPr>
            <w:tcW w:type="dxa" w:w="960"/>
          </w:tcPr>
          <w:p>
            <w:r>
              <w:t>Navitas Semiconductor</w:t>
            </w:r>
          </w:p>
        </w:tc>
        <w:tc>
          <w:tcPr>
            <w:tcW w:type="dxa" w:w="960"/>
          </w:tcPr>
          <w:p>
            <w:r>
              <w:t>A 强信号</w:t>
            </w:r>
          </w:p>
        </w:tc>
        <w:tc>
          <w:tcPr>
            <w:tcW w:type="dxa" w:w="960"/>
          </w:tcPr>
          <w:p>
            <w:r>
              <w:t>中轨反弹并接近上轨；成交量放大；低位形态</w:t>
            </w:r>
          </w:p>
        </w:tc>
        <w:tc>
          <w:tcPr>
            <w:tcW w:type="dxa" w:w="960"/>
          </w:tcPr>
          <w:p>
            <w:r>
              <w:t>靠近上轨</w:t>
            </w:r>
          </w:p>
        </w:tc>
        <w:tc>
          <w:tcPr>
            <w:tcW w:type="dxa" w:w="960"/>
          </w:tcPr>
          <w:p>
            <w:r>
              <w:t>17.92%</w:t>
            </w:r>
          </w:p>
        </w:tc>
        <w:tc>
          <w:tcPr>
            <w:tcW w:type="dxa" w:w="960"/>
          </w:tcPr>
          <w:p>
            <w:r>
              <w:t>0.859</w:t>
            </w:r>
          </w:p>
        </w:tc>
        <w:tc>
          <w:tcPr>
            <w:tcW w:type="dxa" w:w="960"/>
          </w:tcPr>
          <w:p>
            <w:r>
              <w:t>1.74</w:t>
            </w:r>
          </w:p>
        </w:tc>
        <w:tc>
          <w:tcPr>
            <w:tcW w:type="dxa" w:w="960"/>
          </w:tcPr>
          <w:p>
            <w:r>
              <w:t>股价从中轨附近反弹并接近上轨，且成交量放大，说明短线修复增强；若后续能维持中轨支撑并突破上</w:t>
            </w:r>
          </w:p>
        </w:tc>
      </w:tr>
      <w:tr>
        <w:tc>
          <w:tcPr>
            <w:tcW w:type="dxa" w:w="960"/>
          </w:tcPr>
          <w:p>
            <w:r>
              <w:t>AAOI</w:t>
            </w:r>
          </w:p>
        </w:tc>
        <w:tc>
          <w:tcPr>
            <w:tcW w:type="dxa" w:w="960"/>
          </w:tcPr>
          <w:p>
            <w:r>
              <w:t>Applied Optoelectronics</w:t>
            </w:r>
          </w:p>
        </w:tc>
        <w:tc>
          <w:tcPr>
            <w:tcW w:type="dxa" w:w="960"/>
          </w:tcPr>
          <w:p>
            <w:r>
              <w:t>A 强信号</w:t>
            </w:r>
          </w:p>
        </w:tc>
        <w:tc>
          <w:tcPr>
            <w:tcW w:type="dxa" w:w="960"/>
          </w:tcPr>
          <w:p>
            <w:r>
              <w:t>布林带向上开口（最近3天）；成交量放大；放量突破上轨-中；中轨反弹并接近上轨</w:t>
            </w:r>
          </w:p>
        </w:tc>
        <w:tc>
          <w:tcPr>
            <w:tcW w:type="dxa" w:w="960"/>
          </w:tcPr>
          <w:p>
            <w:r>
              <w:t>突破上轨</w:t>
            </w:r>
          </w:p>
        </w:tc>
        <w:tc>
          <w:tcPr>
            <w:tcW w:type="dxa" w:w="960"/>
          </w:tcPr>
          <w:p>
            <w:r>
              <w:t>20.92%</w:t>
            </w:r>
          </w:p>
        </w:tc>
        <w:tc>
          <w:tcPr>
            <w:tcW w:type="dxa" w:w="960"/>
          </w:tcPr>
          <w:p>
            <w:r>
              <w:t>1.075</w:t>
            </w:r>
          </w:p>
        </w:tc>
        <w:tc>
          <w:tcPr>
            <w:tcW w:type="dxa" w:w="960"/>
          </w:tcPr>
          <w:p>
            <w:r>
              <w:t>1.47</w:t>
            </w:r>
          </w:p>
        </w:tc>
        <w:tc>
          <w:tcPr>
            <w:tcW w:type="dxa" w:w="960"/>
          </w:tcPr>
          <w:p>
            <w:r>
              <w:t>股价放量突破布林线上轨，说明短线多头动能较强，可能进入强势上涨阶段，但也要注意短线过热和回</w:t>
            </w:r>
          </w:p>
        </w:tc>
      </w:tr>
      <w:tr>
        <w:tc>
          <w:tcPr>
            <w:tcW w:type="dxa" w:w="960"/>
          </w:tcPr>
          <w:p>
            <w:r>
              <w:t>MXL</w:t>
            </w:r>
          </w:p>
        </w:tc>
        <w:tc>
          <w:tcPr>
            <w:tcW w:type="dxa" w:w="960"/>
          </w:tcPr>
          <w:p>
            <w:r>
              <w:t>MaxLinear, Inc</w:t>
            </w:r>
          </w:p>
        </w:tc>
        <w:tc>
          <w:tcPr>
            <w:tcW w:type="dxa" w:w="960"/>
          </w:tcPr>
          <w:p>
            <w:r>
              <w:t>B 中等信号</w:t>
            </w:r>
          </w:p>
        </w:tc>
        <w:tc>
          <w:tcPr>
            <w:tcW w:type="dxa" w:w="960"/>
          </w:tcPr>
          <w:p>
            <w:r>
              <w:t>放量突破上轨-中</w:t>
            </w:r>
          </w:p>
        </w:tc>
        <w:tc>
          <w:tcPr>
            <w:tcW w:type="dxa" w:w="960"/>
          </w:tcPr>
          <w:p>
            <w:r>
              <w:t>突破上轨</w:t>
            </w:r>
          </w:p>
        </w:tc>
        <w:tc>
          <w:tcPr>
            <w:tcW w:type="dxa" w:w="960"/>
          </w:tcPr>
          <w:p>
            <w:r>
              <w:t>58.16%</w:t>
            </w:r>
          </w:p>
        </w:tc>
        <w:tc>
          <w:tcPr>
            <w:tcW w:type="dxa" w:w="960"/>
          </w:tcPr>
          <w:p>
            <w:r>
              <w:t>1.043</w:t>
            </w:r>
          </w:p>
        </w:tc>
        <w:tc>
          <w:tcPr>
            <w:tcW w:type="dxa" w:w="960"/>
          </w:tcPr>
          <w:p>
            <w:r>
              <w:t>1.56</w:t>
            </w:r>
          </w:p>
        </w:tc>
        <w:tc>
          <w:tcPr>
            <w:tcW w:type="dxa" w:w="960"/>
          </w:tcPr>
          <w:p>
            <w:r>
              <w:t>股价放量突破布林线上轨，说明短线多头动能较强，可能进入强势上涨阶段，但也要注意短线过热和回</w:t>
            </w:r>
          </w:p>
        </w:tc>
      </w:tr>
      <w:tr>
        <w:tc>
          <w:tcPr>
            <w:tcW w:type="dxa" w:w="960"/>
          </w:tcPr>
          <w:p>
            <w:r>
              <w:t>VELO</w:t>
            </w:r>
          </w:p>
        </w:tc>
        <w:tc>
          <w:tcPr>
            <w:tcW w:type="dxa" w:w="960"/>
          </w:tcPr>
          <w:p>
            <w:r>
              <w:t>Velo3D, Inc.</w:t>
            </w:r>
          </w:p>
        </w:tc>
        <w:tc>
          <w:tcPr>
            <w:tcW w:type="dxa" w:w="960"/>
          </w:tcPr>
          <w:p>
            <w:r>
              <w:t>B 中等信号</w:t>
            </w:r>
          </w:p>
        </w:tc>
        <w:tc>
          <w:tcPr>
            <w:tcW w:type="dxa" w:w="960"/>
          </w:tcPr>
          <w:p>
            <w:r>
              <w:t>强收口：Bandwidth创近100日新低；中轨附近窄幅震荡；低位形态</w:t>
            </w:r>
          </w:p>
        </w:tc>
        <w:tc>
          <w:tcPr>
            <w:tcW w:type="dxa" w:w="960"/>
          </w:tcPr>
          <w:p>
            <w:r>
              <w:t>中轨附近</w:t>
            </w:r>
          </w:p>
        </w:tc>
        <w:tc>
          <w:tcPr>
            <w:tcW w:type="dxa" w:w="960"/>
          </w:tcPr>
          <w:p>
            <w:r>
              <w:t>19.93%</w:t>
            </w:r>
          </w:p>
        </w:tc>
        <w:tc>
          <w:tcPr>
            <w:tcW w:type="dxa" w:w="960"/>
          </w:tcPr>
          <w:p>
            <w:r>
              <w:t>0.663</w:t>
            </w:r>
          </w:p>
        </w:tc>
        <w:tc>
          <w:tcPr>
            <w:tcW w:type="dxa" w:w="960"/>
          </w:tcPr>
          <w:p>
            <w:r>
              <w:t>1.55</w:t>
            </w:r>
          </w:p>
        </w:tc>
        <w:tc>
          <w:tcPr>
            <w:tcW w:type="dxa" w:w="960"/>
          </w:tcPr>
          <w:p>
            <w:r>
              <w:t>布林带收口，说明波动率下降，股价可能处于蓄势阶段，但方向尚未确认。</w:t>
            </w:r>
          </w:p>
        </w:tc>
      </w:tr>
      <w:tr>
        <w:tc>
          <w:tcPr>
            <w:tcW w:type="dxa" w:w="960"/>
          </w:tcPr>
          <w:p>
            <w:r>
              <w:t>RDW</w:t>
            </w:r>
          </w:p>
        </w:tc>
        <w:tc>
          <w:tcPr>
            <w:tcW w:type="dxa" w:w="960"/>
          </w:tcPr>
          <w:p>
            <w:r>
              <w:t>Redwire Corporation</w:t>
            </w:r>
          </w:p>
        </w:tc>
        <w:tc>
          <w:tcPr>
            <w:tcW w:type="dxa" w:w="960"/>
          </w:tcPr>
          <w:p>
            <w:r>
              <w:t>B 中等信号</w:t>
            </w:r>
          </w:p>
        </w:tc>
        <w:tc>
          <w:tcPr>
            <w:tcW w:type="dxa" w:w="960"/>
          </w:tcPr>
          <w:p>
            <w:r>
              <w:t>强收口：Bandwidth低于近8个月10%分位且持续12天；中轨附近窄幅震荡；接近突破中轨；低位形态</w:t>
            </w:r>
          </w:p>
        </w:tc>
        <w:tc>
          <w:tcPr>
            <w:tcW w:type="dxa" w:w="960"/>
          </w:tcPr>
          <w:p>
            <w:r>
              <w:t>中轨附近</w:t>
            </w:r>
          </w:p>
        </w:tc>
        <w:tc>
          <w:tcPr>
            <w:tcW w:type="dxa" w:w="960"/>
          </w:tcPr>
          <w:p>
            <w:r>
              <w:t>15.52%</w:t>
            </w:r>
          </w:p>
        </w:tc>
        <w:tc>
          <w:tcPr>
            <w:tcW w:type="dxa" w:w="960"/>
          </w:tcPr>
          <w:p>
            <w:r>
              <w:t>0.431</w:t>
            </w:r>
          </w:p>
        </w:tc>
        <w:tc>
          <w:tcPr>
            <w:tcW w:type="dxa" w:w="960"/>
          </w:tcPr>
          <w:p>
            <w:r>
              <w:t>1.14</w:t>
            </w:r>
          </w:p>
        </w:tc>
        <w:tc>
          <w:tcPr>
            <w:tcW w:type="dxa" w:w="960"/>
          </w:tcPr>
          <w:p>
            <w:r>
              <w:t>布林带收口，说明波动率下降，股价可能处于蓄势阶段，但方向尚未确认。</w:t>
            </w:r>
          </w:p>
        </w:tc>
      </w:tr>
      <w:tr>
        <w:tc>
          <w:tcPr>
            <w:tcW w:type="dxa" w:w="960"/>
          </w:tcPr>
          <w:p>
            <w:r>
              <w:t>LUNR</w:t>
            </w:r>
          </w:p>
        </w:tc>
        <w:tc>
          <w:tcPr>
            <w:tcW w:type="dxa" w:w="960"/>
          </w:tcPr>
          <w:p>
            <w:r>
              <w:t>Intuitive Machines</w:t>
            </w:r>
          </w:p>
        </w:tc>
        <w:tc>
          <w:tcPr>
            <w:tcW w:type="dxa" w:w="960"/>
          </w:tcPr>
          <w:p>
            <w:r>
              <w:t>B 中等信号</w:t>
            </w:r>
          </w:p>
        </w:tc>
        <w:tc>
          <w:tcPr>
            <w:tcW w:type="dxa" w:w="960"/>
          </w:tcPr>
          <w:p>
            <w:r>
              <w:t>强收口：Bandwidth低于近8个月10%分位且持续7天；中轨附近窄幅震荡；接近突破中轨；低位形态</w:t>
            </w:r>
          </w:p>
        </w:tc>
        <w:tc>
          <w:tcPr>
            <w:tcW w:type="dxa" w:w="960"/>
          </w:tcPr>
          <w:p>
            <w:r>
              <w:t>中轨附近</w:t>
            </w:r>
          </w:p>
        </w:tc>
        <w:tc>
          <w:tcPr>
            <w:tcW w:type="dxa" w:w="960"/>
          </w:tcPr>
          <w:p>
            <w:r>
              <w:t>19.17%</w:t>
            </w:r>
          </w:p>
        </w:tc>
        <w:tc>
          <w:tcPr>
            <w:tcW w:type="dxa" w:w="960"/>
          </w:tcPr>
          <w:p>
            <w:r>
              <w:t>0.468</w:t>
            </w:r>
          </w:p>
        </w:tc>
        <w:tc>
          <w:tcPr>
            <w:tcW w:type="dxa" w:w="960"/>
          </w:tcPr>
          <w:p>
            <w:r>
              <w:t>1.13</w:t>
            </w:r>
          </w:p>
        </w:tc>
        <w:tc>
          <w:tcPr>
            <w:tcW w:type="dxa" w:w="960"/>
          </w:tcPr>
          <w:p>
            <w:r>
              <w:t>布林带收口，说明波动率下降，股价可能处于蓄势阶段，但方向尚未确认。</w:t>
            </w:r>
          </w:p>
        </w:tc>
      </w:tr>
      <w:tr>
        <w:tc>
          <w:tcPr>
            <w:tcW w:type="dxa" w:w="960"/>
          </w:tcPr>
          <w:p>
            <w:r>
              <w:t>SPCX</w:t>
            </w:r>
          </w:p>
        </w:tc>
        <w:tc>
          <w:tcPr>
            <w:tcW w:type="dxa" w:w="960"/>
          </w:tcPr>
          <w:p>
            <w:r>
              <w:t>Space Exploration Technologies</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9.30%</w:t>
            </w:r>
          </w:p>
        </w:tc>
        <w:tc>
          <w:tcPr>
            <w:tcW w:type="dxa" w:w="960"/>
          </w:tcPr>
          <w:p>
            <w:r>
              <w:t>1.132</w:t>
            </w:r>
          </w:p>
        </w:tc>
        <w:tc>
          <w:tcPr>
            <w:tcW w:type="dxa" w:w="960"/>
          </w:tcPr>
          <w:p>
            <w:r>
              <w:t>1.27</w:t>
            </w:r>
          </w:p>
        </w:tc>
        <w:tc>
          <w:tcPr>
            <w:tcW w:type="dxa" w:w="960"/>
          </w:tcPr>
          <w:p>
            <w:r>
              <w:t>股价突破布林线上轨，但成交量确认不足，可能是假突破，需要下一交易日确认。</w:t>
            </w:r>
          </w:p>
        </w:tc>
      </w:tr>
      <w:tr>
        <w:tc>
          <w:tcPr>
            <w:tcW w:type="dxa" w:w="960"/>
          </w:tcPr>
          <w:p>
            <w:r>
              <w:t>COHR</w:t>
            </w:r>
          </w:p>
        </w:tc>
        <w:tc>
          <w:tcPr>
            <w:tcW w:type="dxa" w:w="960"/>
          </w:tcPr>
          <w:p>
            <w:r>
              <w:t>Coherent</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22.57%</w:t>
            </w:r>
          </w:p>
        </w:tc>
        <w:tc>
          <w:tcPr>
            <w:tcW w:type="dxa" w:w="960"/>
          </w:tcPr>
          <w:p>
            <w:r>
              <w:t>1.077</w:t>
            </w:r>
          </w:p>
        </w:tc>
        <w:tc>
          <w:tcPr>
            <w:tcW w:type="dxa" w:w="960"/>
          </w:tcPr>
          <w:p>
            <w:r>
              <w:t>1.25</w:t>
            </w:r>
          </w:p>
        </w:tc>
        <w:tc>
          <w:tcPr>
            <w:tcW w:type="dxa" w:w="960"/>
          </w:tcPr>
          <w:p>
            <w:r>
              <w:t>股价突破布林线上轨，但成交量确认不足，可能是假突破，需要下一交易日确认。</w:t>
            </w:r>
          </w:p>
        </w:tc>
      </w:tr>
      <w:tr>
        <w:tc>
          <w:tcPr>
            <w:tcW w:type="dxa" w:w="960"/>
          </w:tcPr>
          <w:p>
            <w:r>
              <w:t>POET</w:t>
            </w:r>
          </w:p>
        </w:tc>
        <w:tc>
          <w:tcPr>
            <w:tcW w:type="dxa" w:w="960"/>
          </w:tcPr>
          <w:p>
            <w:r>
              <w:t>POET Technologies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15.77%</w:t>
            </w:r>
          </w:p>
        </w:tc>
        <w:tc>
          <w:tcPr>
            <w:tcW w:type="dxa" w:w="960"/>
          </w:tcPr>
          <w:p>
            <w:r>
              <w:t>0.532</w:t>
            </w:r>
          </w:p>
        </w:tc>
        <w:tc>
          <w:tcPr>
            <w:tcW w:type="dxa" w:w="960"/>
          </w:tcPr>
          <w:p>
            <w:r>
              <w:t>1.00</w:t>
            </w:r>
          </w:p>
        </w:tc>
        <w:tc>
          <w:tcPr>
            <w:tcW w:type="dxa" w:w="960"/>
          </w:tcPr>
          <w:p>
            <w:r>
              <w:t>布林带收口，说明波动率下降，股价可能处于蓄势阶段，但方向尚未确认。</w:t>
            </w:r>
          </w:p>
        </w:tc>
      </w:tr>
      <w:tr>
        <w:tc>
          <w:tcPr>
            <w:tcW w:type="dxa" w:w="960"/>
          </w:tcPr>
          <w:p>
            <w:r>
              <w:t>AVGO</w:t>
            </w:r>
          </w:p>
        </w:tc>
        <w:tc>
          <w:tcPr>
            <w:tcW w:type="dxa" w:w="960"/>
          </w:tcPr>
          <w:p>
            <w:r>
              <w:t>Broadcom Inc.</w:t>
            </w:r>
          </w:p>
        </w:tc>
        <w:tc>
          <w:tcPr>
            <w:tcW w:type="dxa" w:w="960"/>
          </w:tcPr>
          <w:p>
            <w:r>
              <w:t>C 观察信号</w:t>
            </w:r>
          </w:p>
        </w:tc>
        <w:tc>
          <w:tcPr>
            <w:tcW w:type="dxa" w:w="960"/>
          </w:tcPr>
          <w:p>
            <w:r>
              <w:t>弱收口：Bandwidth连续15天维持低于近8个月30%分位；中轨附近窄幅震荡；低位形态</w:t>
            </w:r>
          </w:p>
        </w:tc>
        <w:tc>
          <w:tcPr>
            <w:tcW w:type="dxa" w:w="960"/>
          </w:tcPr>
          <w:p>
            <w:r>
              <w:t>中轨附近</w:t>
            </w:r>
          </w:p>
        </w:tc>
        <w:tc>
          <w:tcPr>
            <w:tcW w:type="dxa" w:w="960"/>
          </w:tcPr>
          <w:p>
            <w:r>
              <w:t>9.30%</w:t>
            </w:r>
          </w:p>
        </w:tc>
        <w:tc>
          <w:tcPr>
            <w:tcW w:type="dxa" w:w="960"/>
          </w:tcPr>
          <w:p>
            <w:r>
              <w:t>0.531</w:t>
            </w:r>
          </w:p>
        </w:tc>
        <w:tc>
          <w:tcPr>
            <w:tcW w:type="dxa" w:w="960"/>
          </w:tcPr>
          <w:p>
            <w:r>
              <w:t>0.98</w:t>
            </w:r>
          </w:p>
        </w:tc>
        <w:tc>
          <w:tcPr>
            <w:tcW w:type="dxa" w:w="960"/>
          </w:tcPr>
          <w:p>
            <w:r>
              <w:t>布林带收口，说明波动率下降，股价可能处于蓄势阶段，但方向尚未确认。</w:t>
            </w:r>
          </w:p>
        </w:tc>
      </w:tr>
      <w:tr>
        <w:tc>
          <w:tcPr>
            <w:tcW w:type="dxa" w:w="960"/>
          </w:tcPr>
          <w:p>
            <w:r>
              <w:t>GOOG</w:t>
            </w:r>
          </w:p>
        </w:tc>
        <w:tc>
          <w:tcPr>
            <w:tcW w:type="dxa" w:w="960"/>
          </w:tcPr>
          <w:p>
            <w:r>
              <w:t>Alphabet Inc.</w:t>
            </w:r>
          </w:p>
        </w:tc>
        <w:tc>
          <w:tcPr>
            <w:tcW w:type="dxa" w:w="960"/>
          </w:tcPr>
          <w:p>
            <w:r>
              <w:t>C 观察信号</w:t>
            </w:r>
          </w:p>
        </w:tc>
        <w:tc>
          <w:tcPr>
            <w:tcW w:type="dxa" w:w="960"/>
          </w:tcPr>
          <w:p>
            <w:r>
              <w:t>弱收口：Bandwidth连续23天维持低于近8个月30%分位；中轨附近窄幅震荡</w:t>
            </w:r>
          </w:p>
        </w:tc>
        <w:tc>
          <w:tcPr>
            <w:tcW w:type="dxa" w:w="960"/>
          </w:tcPr>
          <w:p>
            <w:r>
              <w:t>中轨附近</w:t>
            </w:r>
          </w:p>
        </w:tc>
        <w:tc>
          <w:tcPr>
            <w:tcW w:type="dxa" w:w="960"/>
          </w:tcPr>
          <w:p>
            <w:r>
              <w:t>6.37%</w:t>
            </w:r>
          </w:p>
        </w:tc>
        <w:tc>
          <w:tcPr>
            <w:tcW w:type="dxa" w:w="960"/>
          </w:tcPr>
          <w:p>
            <w:r>
              <w:t>0.550</w:t>
            </w:r>
          </w:p>
        </w:tc>
        <w:tc>
          <w:tcPr>
            <w:tcW w:type="dxa" w:w="960"/>
          </w:tcPr>
          <w:p>
            <w:r>
              <w:t>0.98</w:t>
            </w:r>
          </w:p>
        </w:tc>
        <w:tc>
          <w:tcPr>
            <w:tcW w:type="dxa" w:w="960"/>
          </w:tcPr>
          <w:p>
            <w:r>
              <w:t>布林带收口，说明波动率下降，股价可能处于蓄势阶段，但方向尚未确认。</w:t>
            </w:r>
          </w:p>
        </w:tc>
      </w:tr>
      <w:tr>
        <w:tc>
          <w:tcPr>
            <w:tcW w:type="dxa" w:w="960"/>
          </w:tcPr>
          <w:p>
            <w:r>
              <w:t>AMAT</w:t>
            </w:r>
          </w:p>
        </w:tc>
        <w:tc>
          <w:tcPr>
            <w:tcW w:type="dxa" w:w="960"/>
          </w:tcPr>
          <w:p>
            <w:r>
              <w:t>Applied Materials, Inc.</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29.56%</w:t>
            </w:r>
          </w:p>
        </w:tc>
        <w:tc>
          <w:tcPr>
            <w:tcW w:type="dxa" w:w="960"/>
          </w:tcPr>
          <w:p>
            <w:r>
              <w:t>1.013</w:t>
            </w:r>
          </w:p>
        </w:tc>
        <w:tc>
          <w:tcPr>
            <w:tcW w:type="dxa" w:w="960"/>
          </w:tcPr>
          <w:p>
            <w:r>
              <w:t>0.96</w:t>
            </w:r>
          </w:p>
        </w:tc>
        <w:tc>
          <w:tcPr>
            <w:tcW w:type="dxa" w:w="960"/>
          </w:tcPr>
          <w:p>
            <w:r>
              <w:t>股价突破布林线上轨，但成交量确认不足，可能是假突破，需要下一交易日确认。</w:t>
            </w:r>
          </w:p>
        </w:tc>
      </w:tr>
      <w:tr>
        <w:tc>
          <w:tcPr>
            <w:tcW w:type="dxa" w:w="960"/>
          </w:tcPr>
          <w:p>
            <w:r>
              <w:t>LITE</w:t>
            </w:r>
          </w:p>
        </w:tc>
        <w:tc>
          <w:tcPr>
            <w:tcW w:type="dxa" w:w="960"/>
          </w:tcPr>
          <w:p>
            <w:r>
              <w:t>Lumentum Holdings</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24.49%</w:t>
            </w:r>
          </w:p>
        </w:tc>
        <w:tc>
          <w:tcPr>
            <w:tcW w:type="dxa" w:w="960"/>
          </w:tcPr>
          <w:p>
            <w:r>
              <w:t>1.123</w:t>
            </w:r>
          </w:p>
        </w:tc>
        <w:tc>
          <w:tcPr>
            <w:tcW w:type="dxa" w:w="960"/>
          </w:tcPr>
          <w:p>
            <w:r>
              <w:t>0.95</w:t>
            </w:r>
          </w:p>
        </w:tc>
        <w:tc>
          <w:tcPr>
            <w:tcW w:type="dxa" w:w="960"/>
          </w:tcPr>
          <w:p>
            <w:r>
              <w:t>股价突破布林线上轨，但成交量确认不足，可能是假突破，需要下一交易日确认。</w:t>
            </w:r>
          </w:p>
        </w:tc>
      </w:tr>
      <w:tr>
        <w:tc>
          <w:tcPr>
            <w:tcW w:type="dxa" w:w="960"/>
          </w:tcPr>
          <w:p>
            <w:r>
              <w:t>NOK</w:t>
            </w:r>
          </w:p>
        </w:tc>
        <w:tc>
          <w:tcPr>
            <w:tcW w:type="dxa" w:w="960"/>
          </w:tcPr>
          <w:p>
            <w:r>
              <w:t>Nokia Oyj</w:t>
            </w:r>
          </w:p>
        </w:tc>
        <w:tc>
          <w:tcPr>
            <w:tcW w:type="dxa" w:w="960"/>
          </w:tcPr>
          <w:p>
            <w:r>
              <w:t>C 观察信号</w:t>
            </w:r>
          </w:p>
        </w:tc>
        <w:tc>
          <w:tcPr>
            <w:tcW w:type="dxa" w:w="960"/>
          </w:tcPr>
          <w:p>
            <w:r>
              <w:t>弱收口：Bandwidth连续21天维持低于近8个月30%分位；中轨附近窄幅震荡</w:t>
            </w:r>
          </w:p>
        </w:tc>
        <w:tc>
          <w:tcPr>
            <w:tcW w:type="dxa" w:w="960"/>
          </w:tcPr>
          <w:p>
            <w:r>
              <w:t>中轨附近</w:t>
            </w:r>
          </w:p>
        </w:tc>
        <w:tc>
          <w:tcPr>
            <w:tcW w:type="dxa" w:w="960"/>
          </w:tcPr>
          <w:p>
            <w:r>
              <w:t>13.92%</w:t>
            </w:r>
          </w:p>
        </w:tc>
        <w:tc>
          <w:tcPr>
            <w:tcW w:type="dxa" w:w="960"/>
          </w:tcPr>
          <w:p>
            <w:r>
              <w:t>0.607</w:t>
            </w:r>
          </w:p>
        </w:tc>
        <w:tc>
          <w:tcPr>
            <w:tcW w:type="dxa" w:w="960"/>
          </w:tcPr>
          <w:p>
            <w:r>
              <w:t>0.87</w:t>
            </w:r>
          </w:p>
        </w:tc>
        <w:tc>
          <w:tcPr>
            <w:tcW w:type="dxa" w:w="960"/>
          </w:tcPr>
          <w:p>
            <w:r>
              <w:t>布林带收口，说明波动率下降，股价可能处于蓄势阶段，但方向尚未确认。</w:t>
            </w:r>
          </w:p>
        </w:tc>
      </w:tr>
      <w:tr>
        <w:tc>
          <w:tcPr>
            <w:tcW w:type="dxa" w:w="960"/>
          </w:tcPr>
          <w:p>
            <w:r>
              <w:t>SIVEF</w:t>
            </w:r>
          </w:p>
        </w:tc>
        <w:tc>
          <w:tcPr>
            <w:tcW w:type="dxa" w:w="960"/>
          </w:tcPr>
          <w:p>
            <w:r>
              <w:t>Sivers Semiconductors</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28.85%</w:t>
            </w:r>
          </w:p>
        </w:tc>
        <w:tc>
          <w:tcPr>
            <w:tcW w:type="dxa" w:w="960"/>
          </w:tcPr>
          <w:p>
            <w:r>
              <w:t>0.620</w:t>
            </w:r>
          </w:p>
        </w:tc>
        <w:tc>
          <w:tcPr>
            <w:tcW w:type="dxa" w:w="960"/>
          </w:tcPr>
          <w:p>
            <w:r>
              <w:t>0.73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强信号：OPTX, NVTS, AAOI。</w:t>
      </w:r>
    </w:p>
    <w:p>
      <w:pPr>
        <w:pStyle w:val="ListBullet"/>
      </w:pPr>
      <w:r>
        <w:t>中等信号：MXL, VELO, RDW, LUNR。</w:t>
      </w:r>
    </w:p>
    <w:p>
      <w:pPr>
        <w:pStyle w:val="ListBullet"/>
      </w:pPr>
      <w:r>
        <w:t>观察信号：SPCX, COHR, POET, AVGO, GOOG, AMAT, LITE, NOK, SIVEF。</w:t>
      </w:r>
    </w:p>
    <w:p>
      <w:pPr>
        <w:pStyle w:val="ListBullet"/>
      </w:pPr>
      <w:r>
        <w:t>今日优先复核：OPTX, NVTS, AAOI, MXL, VELO。优先看是否放量、能否站稳上轨或中轨。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OPTX - Syntec Optics Holdings</w:t>
      </w:r>
    </w:p>
    <w:p>
      <w:pPr>
        <w:pStyle w:val="ListBullet"/>
      </w:pPr>
      <w:r>
        <w:t>信号等级：A 强信号</w:t>
      </w:r>
    </w:p>
    <w:p>
      <w:pPr>
        <w:pStyle w:val="ListBullet"/>
      </w:pPr>
      <w:r>
        <w:t>最新收盘价：$9.14</w:t>
      </w:r>
    </w:p>
    <w:p>
      <w:pPr>
        <w:pStyle w:val="ListBullet"/>
      </w:pPr>
      <w:r>
        <w:t>BOLL：上轨 $8.69；中轨 $7.39；下轨 $6.08</w:t>
      </w:r>
    </w:p>
    <w:p>
      <w:pPr>
        <w:pStyle w:val="ListBullet"/>
      </w:pPr>
      <w:r>
        <w:t>Bandwidth：35.38%；历史分位：22.02%；%B：1.170</w:t>
      </w:r>
    </w:p>
    <w:p>
      <w:pPr>
        <w:pStyle w:val="ListBullet"/>
      </w:pPr>
      <w:r>
        <w:t>成交量：当日 699100；20日均量 384380；量比 1.82</w:t>
      </w:r>
    </w:p>
    <w:p>
      <w:pPr>
        <w:pStyle w:val="ListBullet"/>
      </w:pPr>
      <w:r>
        <w:t>触发信号：布林带向上开口（最近3天）；成交量放大；放量突破上轨-强；中轨反弹并接近上轨；成交量放大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风险提示：股价明显高于上轨，短线可能过热，需防回踩。；尚未连续两日站上上轨，需要下一交易日确认。</w:t>
      </w:r>
    </w:p>
    <w:p>
      <w:pPr>
        <w:pStyle w:val="Heading3"/>
      </w:pPr>
      <w:r>
        <w:t>NVTS - Navitas Semiconductor</w:t>
      </w:r>
    </w:p>
    <w:p>
      <w:pPr>
        <w:pStyle w:val="ListBullet"/>
      </w:pPr>
      <w:r>
        <w:t>信号等级：A 强信号</w:t>
      </w:r>
    </w:p>
    <w:p>
      <w:pPr>
        <w:pStyle w:val="ListBullet"/>
      </w:pPr>
      <w:r>
        <w:t>最新收盘价：$12.40</w:t>
      </w:r>
    </w:p>
    <w:p>
      <w:pPr>
        <w:pStyle w:val="ListBullet"/>
      </w:pPr>
      <w:r>
        <w:t>BOLL：上轨 $12.69；中轨 $11.65；下轨 $10.61</w:t>
      </w:r>
    </w:p>
    <w:p>
      <w:pPr>
        <w:pStyle w:val="ListBullet"/>
      </w:pPr>
      <w:r>
        <w:t>Bandwidth：17.92%；历史分位：3.57%；%B：0.859</w:t>
      </w:r>
    </w:p>
    <w:p>
      <w:pPr>
        <w:pStyle w:val="ListBullet"/>
      </w:pPr>
      <w:r>
        <w:t>成交量：当日 24676100；20日均量 14217395；量比 1.74</w:t>
      </w:r>
    </w:p>
    <w:p>
      <w:pPr>
        <w:pStyle w:val="ListBullet"/>
      </w:pPr>
      <w:r>
        <w:t>触发信号：中轨反弹并接近上轨；成交量放大；低位形态</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AAOI - Applied Optoelectronics</w:t>
      </w:r>
    </w:p>
    <w:p>
      <w:pPr>
        <w:pStyle w:val="ListBullet"/>
      </w:pPr>
      <w:r>
        <w:t>信号等级：A 强信号</w:t>
      </w:r>
    </w:p>
    <w:p>
      <w:pPr>
        <w:pStyle w:val="ListBullet"/>
      </w:pPr>
      <w:r>
        <w:t>最新收盘价：$115.59</w:t>
      </w:r>
    </w:p>
    <w:p>
      <w:pPr>
        <w:pStyle w:val="ListBullet"/>
      </w:pPr>
      <w:r>
        <w:t>BOLL：上轨 $113.97；中轨 $103.17；下轨 $92.38</w:t>
      </w:r>
    </w:p>
    <w:p>
      <w:pPr>
        <w:pStyle w:val="ListBullet"/>
      </w:pPr>
      <w:r>
        <w:t>Bandwidth：20.92%；历史分位：4.76%；%B：1.075</w:t>
      </w:r>
    </w:p>
    <w:p>
      <w:pPr>
        <w:pStyle w:val="ListBullet"/>
      </w:pPr>
      <w:r>
        <w:t>成交量：当日 11027400；20日均量 7525730；量比 1.47</w:t>
      </w:r>
    </w:p>
    <w:p>
      <w:pPr>
        <w:pStyle w:val="ListBullet"/>
      </w:pPr>
      <w:r>
        <w:t>触发信号：布林带向上开口（最近3天）；成交量放大；放量突破上轨-中；中轨反弹并接近上轨；成交量放大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MXL - MaxLinear, Inc</w:t>
      </w:r>
    </w:p>
    <w:p>
      <w:pPr>
        <w:pStyle w:val="ListBullet"/>
      </w:pPr>
      <w:r>
        <w:t>信号等级：B 中等信号</w:t>
      </w:r>
    </w:p>
    <w:p>
      <w:pPr>
        <w:pStyle w:val="ListBullet"/>
      </w:pPr>
      <w:r>
        <w:t>最新收盘价：$105.93</w:t>
      </w:r>
    </w:p>
    <w:p>
      <w:pPr>
        <w:pStyle w:val="ListBullet"/>
      </w:pPr>
      <w:r>
        <w:t>BOLL：上轨 $103.92；中轨 $80.51；下轨 $57.10</w:t>
      </w:r>
    </w:p>
    <w:p>
      <w:pPr>
        <w:pStyle w:val="ListBullet"/>
      </w:pPr>
      <w:r>
        <w:t>Bandwidth：58.16%；历史分位：76.79%；%B：1.043</w:t>
      </w:r>
    </w:p>
    <w:p>
      <w:pPr>
        <w:pStyle w:val="ListBullet"/>
      </w:pPr>
      <w:r>
        <w:t>成交量：当日 4783400；20日均量 3061015；量比 1.56</w:t>
      </w:r>
    </w:p>
    <w:p>
      <w:pPr>
        <w:pStyle w:val="ListBullet"/>
      </w:pPr>
      <w:r>
        <w:t>触发信号：放量突破上轨-中</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VELO - Velo3D, Inc.</w:t>
      </w:r>
    </w:p>
    <w:p>
      <w:pPr>
        <w:pStyle w:val="ListBullet"/>
      </w:pPr>
      <w:r>
        <w:t>信号等级：B 中等信号</w:t>
      </w:r>
    </w:p>
    <w:p>
      <w:pPr>
        <w:pStyle w:val="ListBullet"/>
      </w:pPr>
      <w:r>
        <w:t>最新收盘价：$11.20</w:t>
      </w:r>
    </w:p>
    <w:p>
      <w:pPr>
        <w:pStyle w:val="ListBullet"/>
      </w:pPr>
      <w:r>
        <w:t>BOLL：上轨 $11.93；中轨 $10.85；下轨 $9.77</w:t>
      </w:r>
    </w:p>
    <w:p>
      <w:pPr>
        <w:pStyle w:val="ListBullet"/>
      </w:pPr>
      <w:r>
        <w:t>Bandwidth：19.93%；历史分位：0.60%；%B：0.663</w:t>
      </w:r>
    </w:p>
    <w:p>
      <w:pPr>
        <w:pStyle w:val="ListBullet"/>
      </w:pPr>
      <w:r>
        <w:t>成交量：当日 1518600；20日均量 977485；量比 1.55</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RDW - Redwire Corporation</w:t>
      </w:r>
    </w:p>
    <w:p>
      <w:pPr>
        <w:pStyle w:val="ListBullet"/>
      </w:pPr>
      <w:r>
        <w:t>信号等级：B 中等信号</w:t>
      </w:r>
    </w:p>
    <w:p>
      <w:pPr>
        <w:pStyle w:val="ListBullet"/>
      </w:pPr>
      <w:r>
        <w:t>最新收盘价：$10.88</w:t>
      </w:r>
    </w:p>
    <w:p>
      <w:pPr>
        <w:pStyle w:val="ListBullet"/>
      </w:pPr>
      <w:r>
        <w:t>BOLL：上轨 $11.85；中轨 $11.00；下轨 $10.14</w:t>
      </w:r>
    </w:p>
    <w:p>
      <w:pPr>
        <w:pStyle w:val="ListBullet"/>
      </w:pPr>
      <w:r>
        <w:t>Bandwidth：15.52%；历史分位：2.98%；%B：0.431</w:t>
      </w:r>
    </w:p>
    <w:p>
      <w:pPr>
        <w:pStyle w:val="ListBullet"/>
      </w:pPr>
      <w:r>
        <w:t>成交量：当日 15320400；20日均量 13469460；量比 1.14</w:t>
      </w:r>
    </w:p>
    <w:p>
      <w:pPr>
        <w:pStyle w:val="ListBullet"/>
      </w:pPr>
      <w:r>
        <w:t>触发信号：强收口：Bandwidth低于近8个月10%分位且持续12天；中轨附近窄幅震荡；接近突破中轨；低位形态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LUNR - Intuitive Machines</w:t>
      </w:r>
    </w:p>
    <w:p>
      <w:pPr>
        <w:pStyle w:val="ListBullet"/>
      </w:pPr>
      <w:r>
        <w:t>信号等级：B 中等信号</w:t>
      </w:r>
    </w:p>
    <w:p>
      <w:pPr>
        <w:pStyle w:val="ListBullet"/>
      </w:pPr>
      <w:r>
        <w:t>最新收盘价：$14.71</w:t>
      </w:r>
    </w:p>
    <w:p>
      <w:pPr>
        <w:pStyle w:val="ListBullet"/>
      </w:pPr>
      <w:r>
        <w:t>BOLL：上轨 $16.22；中轨 $14.80；下轨 $13.38</w:t>
      </w:r>
    </w:p>
    <w:p>
      <w:pPr>
        <w:pStyle w:val="ListBullet"/>
      </w:pPr>
      <w:r>
        <w:t>Bandwidth：19.17%；历史分位：7.14%；%B：0.468</w:t>
      </w:r>
    </w:p>
    <w:p>
      <w:pPr>
        <w:pStyle w:val="ListBullet"/>
      </w:pPr>
      <w:r>
        <w:t>成交量：当日 8733100；20日均量 7719500；量比 1.13</w:t>
      </w:r>
    </w:p>
    <w:p>
      <w:pPr>
        <w:pStyle w:val="ListBullet"/>
      </w:pPr>
      <w:r>
        <w:t>触发信号：强收口：Bandwidth低于近8个月10%分位且持续7天；中轨附近窄幅震荡；接近突破中轨；低位形态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SPCX - Space Exploration Technologies</w:t>
      </w:r>
    </w:p>
    <w:p>
      <w:pPr>
        <w:pStyle w:val="ListBullet"/>
      </w:pPr>
      <w:r>
        <w:t>信号等级：C 观察信号</w:t>
      </w:r>
    </w:p>
    <w:p>
      <w:pPr>
        <w:pStyle w:val="ListBullet"/>
      </w:pPr>
      <w:r>
        <w:t>最新收盘价：$158.96</w:t>
      </w:r>
    </w:p>
    <w:p>
      <w:pPr>
        <w:pStyle w:val="ListBullet"/>
      </w:pPr>
      <w:r>
        <w:t>BOLL：上轨 $157.11；中轨 $150.13；下轨 $143.15</w:t>
      </w:r>
    </w:p>
    <w:p>
      <w:pPr>
        <w:pStyle w:val="ListBullet"/>
      </w:pPr>
      <w:r>
        <w:t>Bandwidth：9.30%；历史分位：N/A；%B：1.132</w:t>
      </w:r>
    </w:p>
    <w:p>
      <w:pPr>
        <w:pStyle w:val="ListBullet"/>
      </w:pPr>
      <w:r>
        <w:t>成交量：当日 119446900；20日均量 94181505；量比 1.27</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COHR - Coherent</w:t>
      </w:r>
    </w:p>
    <w:p>
      <w:pPr>
        <w:pStyle w:val="ListBullet"/>
      </w:pPr>
      <w:r>
        <w:t>信号等级：C 观察信号</w:t>
      </w:r>
    </w:p>
    <w:p>
      <w:pPr>
        <w:pStyle w:val="ListBullet"/>
      </w:pPr>
      <w:r>
        <w:t>最新收盘价：$337.04</w:t>
      </w:r>
    </w:p>
    <w:p>
      <w:pPr>
        <w:pStyle w:val="ListBullet"/>
      </w:pPr>
      <w:r>
        <w:t>BOLL：上轨 $331.87；中轨 $298.22；下轨 $264.56</w:t>
      </w:r>
    </w:p>
    <w:p>
      <w:pPr>
        <w:pStyle w:val="ListBullet"/>
      </w:pPr>
      <w:r>
        <w:t>Bandwidth：22.57%；历史分位：15.48%；%B：1.077</w:t>
      </w:r>
    </w:p>
    <w:p>
      <w:pPr>
        <w:pStyle w:val="ListBullet"/>
      </w:pPr>
      <w:r>
        <w:t>成交量：当日 8653300；20日均量 6933620；量比 1.25</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POET - POET Technologies</w:t>
      </w:r>
    </w:p>
    <w:p>
      <w:pPr>
        <w:pStyle w:val="ListBullet"/>
      </w:pPr>
      <w:r>
        <w:t>信号等级：C 观察信号</w:t>
      </w:r>
    </w:p>
    <w:p>
      <w:pPr>
        <w:pStyle w:val="ListBullet"/>
      </w:pPr>
      <w:r>
        <w:t>最新收盘价：$7.79</w:t>
      </w:r>
    </w:p>
    <w:p>
      <w:pPr>
        <w:pStyle w:val="ListBullet"/>
      </w:pPr>
      <w:r>
        <w:t>BOLL：上轨 $8.36；中轨 $7.75；下轨 $7.14</w:t>
      </w:r>
    </w:p>
    <w:p>
      <w:pPr>
        <w:pStyle w:val="ListBullet"/>
      </w:pPr>
      <w:r>
        <w:t>Bandwidth：15.77%；历史分位：0.60%；%B：0.532</w:t>
      </w:r>
    </w:p>
    <w:p>
      <w:pPr>
        <w:pStyle w:val="ListBullet"/>
      </w:pPr>
      <w:r>
        <w:t>成交量：当日 8409500；20日均量 8405485；量比 1.00</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AVGO - Broadcom Inc.</w:t>
      </w:r>
    </w:p>
    <w:p>
      <w:pPr>
        <w:pStyle w:val="ListBullet"/>
      </w:pPr>
      <w:r>
        <w:t>信号等级：C 观察信号</w:t>
      </w:r>
    </w:p>
    <w:p>
      <w:pPr>
        <w:pStyle w:val="ListBullet"/>
      </w:pPr>
      <w:r>
        <w:t>最新收盘价：$355.14</w:t>
      </w:r>
    </w:p>
    <w:p>
      <w:pPr>
        <w:pStyle w:val="ListBullet"/>
      </w:pPr>
      <w:r>
        <w:t>BOLL：上轨 $370.57；中轨 $354.10；下轨 $337.64</w:t>
      </w:r>
    </w:p>
    <w:p>
      <w:pPr>
        <w:pStyle w:val="ListBullet"/>
      </w:pPr>
      <w:r>
        <w:t>Bandwidth：9.30%；历史分位：5.95%；%B：0.531</w:t>
      </w:r>
    </w:p>
    <w:p>
      <w:pPr>
        <w:pStyle w:val="ListBullet"/>
      </w:pPr>
      <w:r>
        <w:t>成交量：当日 24607000；20日均量 25036465；量比 0.98</w:t>
      </w:r>
    </w:p>
    <w:p>
      <w:pPr>
        <w:pStyle w:val="ListBullet"/>
      </w:pPr>
      <w:r>
        <w:t>触发信号：弱收口：Bandwidth连续15天维持低于近8个月30%分位；中轨附近窄幅震荡；低位形态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GOOG - Alphabet Inc.</w:t>
      </w:r>
    </w:p>
    <w:p>
      <w:pPr>
        <w:pStyle w:val="ListBullet"/>
      </w:pPr>
      <w:r>
        <w:t>信号等级：C 观察信号</w:t>
      </w:r>
    </w:p>
    <w:p>
      <w:pPr>
        <w:pStyle w:val="ListBullet"/>
      </w:pPr>
      <w:r>
        <w:t>最新收盘价：$340.35</w:t>
      </w:r>
    </w:p>
    <w:p>
      <w:pPr>
        <w:pStyle w:val="ListBullet"/>
      </w:pPr>
      <w:r>
        <w:t>BOLL：上轨 $350.07；中轨 $339.27；下轨 $328.47</w:t>
      </w:r>
    </w:p>
    <w:p>
      <w:pPr>
        <w:pStyle w:val="ListBullet"/>
      </w:pPr>
      <w:r>
        <w:t>Bandwidth：6.37%；历史分位：13.69%；%B：0.550</w:t>
      </w:r>
    </w:p>
    <w:p>
      <w:pPr>
        <w:pStyle w:val="ListBullet"/>
      </w:pPr>
      <w:r>
        <w:t>成交量：当日 17469400；20日均量 17885450；量比 0.98</w:t>
      </w:r>
    </w:p>
    <w:p>
      <w:pPr>
        <w:pStyle w:val="ListBullet"/>
      </w:pPr>
      <w:r>
        <w:t>触发信号：弱收口：Bandwidth连续23天维持低于近8个月30%分位；中轨附近窄幅震荡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AMAT - Applied Materials, Inc.</w:t>
      </w:r>
    </w:p>
    <w:p>
      <w:pPr>
        <w:pStyle w:val="ListBullet"/>
      </w:pPr>
      <w:r>
        <w:t>信号等级：C 观察信号</w:t>
      </w:r>
    </w:p>
    <w:p>
      <w:pPr>
        <w:pStyle w:val="ListBullet"/>
      </w:pPr>
      <w:r>
        <w:t>最新收盘价：$540.04</w:t>
      </w:r>
    </w:p>
    <w:p>
      <w:pPr>
        <w:pStyle w:val="ListBullet"/>
      </w:pPr>
      <w:r>
        <w:t>BOLL：上轨 $538.28；中轨 $468.97；下轨 $399.66</w:t>
      </w:r>
    </w:p>
    <w:p>
      <w:pPr>
        <w:pStyle w:val="ListBullet"/>
      </w:pPr>
      <w:r>
        <w:t>Bandwidth：29.56%；历史分位：77.38%；%B：1.013</w:t>
      </w:r>
    </w:p>
    <w:p>
      <w:pPr>
        <w:pStyle w:val="ListBullet"/>
      </w:pPr>
      <w:r>
        <w:t>成交量：当日 6074600；20日均量 6337535；量比 0.96</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LITE - Lumentum Holdings</w:t>
      </w:r>
    </w:p>
    <w:p>
      <w:pPr>
        <w:pStyle w:val="ListBullet"/>
      </w:pPr>
      <w:r>
        <w:t>信号等级：C 观察信号</w:t>
      </w:r>
    </w:p>
    <w:p>
      <w:pPr>
        <w:pStyle w:val="ListBullet"/>
      </w:pPr>
      <w:r>
        <w:t>最新收盘价：$1085.42</w:t>
      </w:r>
    </w:p>
    <w:p>
      <w:pPr>
        <w:pStyle w:val="ListBullet"/>
      </w:pPr>
      <w:r>
        <w:t>BOLL：上轨 $1057.06；中轨 $941.73；下轨 $826.39</w:t>
      </w:r>
    </w:p>
    <w:p>
      <w:pPr>
        <w:pStyle w:val="ListBullet"/>
      </w:pPr>
      <w:r>
        <w:t>Bandwidth：24.49%；历史分位：30.95%；%B：1.123</w:t>
      </w:r>
    </w:p>
    <w:p>
      <w:pPr>
        <w:pStyle w:val="ListBullet"/>
      </w:pPr>
      <w:r>
        <w:t>成交量：当日 4670500；20日均量 4893095；量比 0.95</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NOK - Nokia Oyj</w:t>
      </w:r>
    </w:p>
    <w:p>
      <w:pPr>
        <w:pStyle w:val="ListBullet"/>
      </w:pPr>
      <w:r>
        <w:t>信号等级：C 观察信号</w:t>
      </w:r>
    </w:p>
    <w:p>
      <w:pPr>
        <w:pStyle w:val="ListBullet"/>
      </w:pPr>
      <w:r>
        <w:t>最新收盘价：$10.60</w:t>
      </w:r>
    </w:p>
    <w:p>
      <w:pPr>
        <w:pStyle w:val="ListBullet"/>
      </w:pPr>
      <w:r>
        <w:t>BOLL：上轨 $11.17；中轨 $10.45；下轨 $9.72</w:t>
      </w:r>
    </w:p>
    <w:p>
      <w:pPr>
        <w:pStyle w:val="ListBullet"/>
      </w:pPr>
      <w:r>
        <w:t>Bandwidth：13.92%；历史分位：8.93%；%B：0.607</w:t>
      </w:r>
    </w:p>
    <w:p>
      <w:pPr>
        <w:pStyle w:val="ListBullet"/>
      </w:pPr>
      <w:r>
        <w:t>成交量：当日 75754000；20日均量 87298420；量比 0.87</w:t>
      </w:r>
    </w:p>
    <w:p>
      <w:pPr>
        <w:pStyle w:val="ListBullet"/>
      </w:pPr>
      <w:r>
        <w:t>触发信号：弱收口：Bandwidth连续21天维持低于近8个月30%分位；中轨附近窄幅震荡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SIVEF - Sivers Semiconductors</w:t>
      </w:r>
    </w:p>
    <w:p>
      <w:pPr>
        <w:pStyle w:val="ListBullet"/>
      </w:pPr>
      <w:r>
        <w:t>信号等级：C 观察信号</w:t>
      </w:r>
    </w:p>
    <w:p>
      <w:pPr>
        <w:pStyle w:val="ListBullet"/>
      </w:pPr>
      <w:r>
        <w:t>最新收盘价：$3.25</w:t>
      </w:r>
    </w:p>
    <w:p>
      <w:pPr>
        <w:pStyle w:val="ListBullet"/>
      </w:pPr>
      <w:r>
        <w:t>BOLL：上轨 $3.59；中轨 $3.14；下轨 $2.69</w:t>
      </w:r>
    </w:p>
    <w:p>
      <w:pPr>
        <w:pStyle w:val="ListBullet"/>
      </w:pPr>
      <w:r>
        <w:t>Bandwidth：28.85%；历史分位：0.87%；%B：0.620</w:t>
      </w:r>
    </w:p>
    <w:p>
      <w:pPr>
        <w:pStyle w:val="ListBullet"/>
      </w:pPr>
      <w:r>
        <w:t>成交量：当日 815396；20日均量 1119468；量比 0.73</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RKLB（Rocket Lab USA）, NBIS（Nebius Group）, ARM（Arm Holdings）, GLW（Corning）, MRVL（Marvell Technology）, INTC（Intel）, ALAB（Astera Labs）, CRWV（CoreWeave）, ORCL（Oracle）, DELL（Dell Technologies）, BB（BlackBerry）, ONDS（Ondas Holdings）, SMR（NuScale Power）, OKLO（Oklo）, IONQ（IonQ）, QBTS（D-Wave Quantum）, NVDA（NVIDIA）, AMZN（Amazon.com）, AMD（Advanced Micro Devices）, CRCL（Circle Internet Group）, FLY（Firefly Aerospace）, CBRS（Chain Bridge Bancorp）, SHAZ（Shaz）, ASTS（AST SpaceMobile）, QCOM（QUALCOMM Incorporated）, COIN（Coinbase Global, Inc.）, MSFT（Microsoft Corporation）, AMKR（Amkor Technology, Inc.）, LRCX（Lam Research Corporation）, SNDK（Sandisk Corporation）, MU（Micron Technology, Inc.）, TSLA（Tesla, Inc.）, PLTR（Palantir Technologies Inc.）, IBM（International Business Machines）, FORM（FormFactor, Inc.）, MRNA（Moderna, Inc.）, BE（Bloom Energy Corporation）</w:t>
      </w:r>
    </w:p>
    <w:p>
      <w:r>
        <w:br w:type="page"/>
      </w:r>
    </w:p>
    <w:p>
      <w:pPr>
        <w:pStyle w:val="Heading2"/>
      </w:pPr>
      <w:r>
        <w:t>六、触发股票 BOLL 图表</w:t>
      </w:r>
    </w:p>
    <w:p>
      <w:pPr>
        <w:pStyle w:val="Heading3"/>
      </w:pPr>
      <w:r>
        <w:t>OPTX - Syntec Optics Holdings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OPTX_BOLL.png"/>
                    <pic:cNvPicPr/>
                  </pic:nvPicPr>
                  <pic:blipFill>
                    <a:blip r:embed="rId9"/>
                    <a:stretch>
                      <a:fillRect/>
                    </a:stretch>
                  </pic:blipFill>
                  <pic:spPr>
                    <a:xfrm>
                      <a:off x="0" y="0"/>
                      <a:ext cx="6035040" cy="4054793"/>
                    </a:xfrm>
                    <a:prstGeom prst="rect"/>
                  </pic:spPr>
                </pic:pic>
              </a:graphicData>
            </a:graphic>
          </wp:inline>
        </w:drawing>
      </w:r>
    </w:p>
    <w:p>
      <w:pPr>
        <w:pStyle w:val="Heading3"/>
      </w:pPr>
      <w:r>
        <w:t>NVTS - Navitas Semiconductor</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NVTS_BOLL.png"/>
                    <pic:cNvPicPr/>
                  </pic:nvPicPr>
                  <pic:blipFill>
                    <a:blip r:embed="rId10"/>
                    <a:stretch>
                      <a:fillRect/>
                    </a:stretch>
                  </pic:blipFill>
                  <pic:spPr>
                    <a:xfrm>
                      <a:off x="0" y="0"/>
                      <a:ext cx="6035040" cy="4054793"/>
                    </a:xfrm>
                    <a:prstGeom prst="rect"/>
                  </pic:spPr>
                </pic:pic>
              </a:graphicData>
            </a:graphic>
          </wp:inline>
        </w:drawing>
      </w:r>
    </w:p>
    <w:p>
      <w:pPr>
        <w:pStyle w:val="Heading3"/>
      </w:pPr>
      <w:r>
        <w:t>AAOI - Applied Optoelectronics</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AAOI_BOLL.png"/>
                    <pic:cNvPicPr/>
                  </pic:nvPicPr>
                  <pic:blipFill>
                    <a:blip r:embed="rId11"/>
                    <a:stretch>
                      <a:fillRect/>
                    </a:stretch>
                  </pic:blipFill>
                  <pic:spPr>
                    <a:xfrm>
                      <a:off x="0" y="0"/>
                      <a:ext cx="6035040" cy="4054793"/>
                    </a:xfrm>
                    <a:prstGeom prst="rect"/>
                  </pic:spPr>
                </pic:pic>
              </a:graphicData>
            </a:graphic>
          </wp:inline>
        </w:drawing>
      </w:r>
    </w:p>
    <w:p>
      <w:pPr>
        <w:pStyle w:val="Heading3"/>
      </w:pPr>
      <w:r>
        <w:t>MXL - MaxLinear,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MXL_BOLL.png"/>
                    <pic:cNvPicPr/>
                  </pic:nvPicPr>
                  <pic:blipFill>
                    <a:blip r:embed="rId12"/>
                    <a:stretch>
                      <a:fillRect/>
                    </a:stretch>
                  </pic:blipFill>
                  <pic:spPr>
                    <a:xfrm>
                      <a:off x="0" y="0"/>
                      <a:ext cx="6035040" cy="4054793"/>
                    </a:xfrm>
                    <a:prstGeom prst="rect"/>
                  </pic:spPr>
                </pic:pic>
              </a:graphicData>
            </a:graphic>
          </wp:inline>
        </w:drawing>
      </w:r>
    </w:p>
    <w:p>
      <w:pPr>
        <w:pStyle w:val="Heading3"/>
      </w:pPr>
      <w:r>
        <w:t>VELO - Velo3D, Inc.</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VELO_BOLL.png"/>
                    <pic:cNvPicPr/>
                  </pic:nvPicPr>
                  <pic:blipFill>
                    <a:blip r:embed="rId13"/>
                    <a:stretch>
                      <a:fillRect/>
                    </a:stretch>
                  </pic:blipFill>
                  <pic:spPr>
                    <a:xfrm>
                      <a:off x="0" y="0"/>
                      <a:ext cx="6035040" cy="4054793"/>
                    </a:xfrm>
                    <a:prstGeom prst="rect"/>
                  </pic:spPr>
                </pic:pic>
              </a:graphicData>
            </a:graphic>
          </wp:inline>
        </w:drawing>
      </w:r>
    </w:p>
    <w:p>
      <w:pPr>
        <w:pStyle w:val="Heading3"/>
      </w:pPr>
      <w:r>
        <w:t>RDW - Redwire Corporation</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RDW_BOLL.png"/>
                    <pic:cNvPicPr/>
                  </pic:nvPicPr>
                  <pic:blipFill>
                    <a:blip r:embed="rId14"/>
                    <a:stretch>
                      <a:fillRect/>
                    </a:stretch>
                  </pic:blipFill>
                  <pic:spPr>
                    <a:xfrm>
                      <a:off x="0" y="0"/>
                      <a:ext cx="6035040" cy="4054793"/>
                    </a:xfrm>
                    <a:prstGeom prst="rect"/>
                  </pic:spPr>
                </pic:pic>
              </a:graphicData>
            </a:graphic>
          </wp:inline>
        </w:drawing>
      </w:r>
    </w:p>
    <w:p>
      <w:pPr>
        <w:pStyle w:val="Heading3"/>
      </w:pPr>
      <w:r>
        <w:t>LUNR - Intuitive Machines</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LUNR_BOLL.png"/>
                    <pic:cNvPicPr/>
                  </pic:nvPicPr>
                  <pic:blipFill>
                    <a:blip r:embed="rId15"/>
                    <a:stretch>
                      <a:fillRect/>
                    </a:stretch>
                  </pic:blipFill>
                  <pic:spPr>
                    <a:xfrm>
                      <a:off x="0" y="0"/>
                      <a:ext cx="6035040" cy="4054793"/>
                    </a:xfrm>
                    <a:prstGeom prst="rect"/>
                  </pic:spPr>
                </pic:pic>
              </a:graphicData>
            </a:graphic>
          </wp:inline>
        </w:drawing>
      </w:r>
    </w:p>
    <w:p>
      <w:pPr>
        <w:pStyle w:val="Heading3"/>
      </w:pPr>
      <w:r>
        <w:t>SPCX - Space Exploration Technologies</w:t>
      </w:r>
    </w:p>
    <w:p>
      <w:r>
        <w:drawing>
          <wp:inline xmlns:a="http://schemas.openxmlformats.org/drawingml/2006/main" xmlns:pic="http://schemas.openxmlformats.org/drawingml/2006/picture">
            <wp:extent cx="6035040" cy="4054793"/>
            <wp:docPr id="8" name="Picture 8"/>
            <wp:cNvGraphicFramePr>
              <a:graphicFrameLocks noChangeAspect="1"/>
            </wp:cNvGraphicFramePr>
            <a:graphic>
              <a:graphicData uri="http://schemas.openxmlformats.org/drawingml/2006/picture">
                <pic:pic>
                  <pic:nvPicPr>
                    <pic:cNvPr id="0" name="SPCX_BOLL.png"/>
                    <pic:cNvPicPr/>
                  </pic:nvPicPr>
                  <pic:blipFill>
                    <a:blip r:embed="rId16"/>
                    <a:stretch>
                      <a:fillRect/>
                    </a:stretch>
                  </pic:blipFill>
                  <pic:spPr>
                    <a:xfrm>
                      <a:off x="0" y="0"/>
                      <a:ext cx="6035040" cy="4054793"/>
                    </a:xfrm>
                    <a:prstGeom prst="rect"/>
                  </pic:spPr>
                </pic:pic>
              </a:graphicData>
            </a:graphic>
          </wp:inline>
        </w:drawing>
      </w:r>
    </w:p>
    <w:p>
      <w:pPr>
        <w:pStyle w:val="Heading3"/>
      </w:pPr>
      <w:r>
        <w:t>COHR - Coherent</w:t>
      </w:r>
    </w:p>
    <w:p>
      <w:r>
        <w:drawing>
          <wp:inline xmlns:a="http://schemas.openxmlformats.org/drawingml/2006/main" xmlns:pic="http://schemas.openxmlformats.org/drawingml/2006/picture">
            <wp:extent cx="6035040" cy="4054793"/>
            <wp:docPr id="9" name="Picture 9"/>
            <wp:cNvGraphicFramePr>
              <a:graphicFrameLocks noChangeAspect="1"/>
            </wp:cNvGraphicFramePr>
            <a:graphic>
              <a:graphicData uri="http://schemas.openxmlformats.org/drawingml/2006/picture">
                <pic:pic>
                  <pic:nvPicPr>
                    <pic:cNvPr id="0" name="COHR_BOLL.png"/>
                    <pic:cNvPicPr/>
                  </pic:nvPicPr>
                  <pic:blipFill>
                    <a:blip r:embed="rId17"/>
                    <a:stretch>
                      <a:fillRect/>
                    </a:stretch>
                  </pic:blipFill>
                  <pic:spPr>
                    <a:xfrm>
                      <a:off x="0" y="0"/>
                      <a:ext cx="6035040" cy="4054793"/>
                    </a:xfrm>
                    <a:prstGeom prst="rect"/>
                  </pic:spPr>
                </pic:pic>
              </a:graphicData>
            </a:graphic>
          </wp:inline>
        </w:drawing>
      </w:r>
    </w:p>
    <w:p>
      <w:pPr>
        <w:pStyle w:val="Heading3"/>
      </w:pPr>
      <w:r>
        <w:t>POET - POET Technologies</w:t>
      </w:r>
    </w:p>
    <w:p>
      <w:r>
        <w:drawing>
          <wp:inline xmlns:a="http://schemas.openxmlformats.org/drawingml/2006/main" xmlns:pic="http://schemas.openxmlformats.org/drawingml/2006/picture">
            <wp:extent cx="6035040" cy="4054793"/>
            <wp:docPr id="10" name="Picture 10"/>
            <wp:cNvGraphicFramePr>
              <a:graphicFrameLocks noChangeAspect="1"/>
            </wp:cNvGraphicFramePr>
            <a:graphic>
              <a:graphicData uri="http://schemas.openxmlformats.org/drawingml/2006/picture">
                <pic:pic>
                  <pic:nvPicPr>
                    <pic:cNvPr id="0" name="POET_BOLL.png"/>
                    <pic:cNvPicPr/>
                  </pic:nvPicPr>
                  <pic:blipFill>
                    <a:blip r:embed="rId18"/>
                    <a:stretch>
                      <a:fillRect/>
                    </a:stretch>
                  </pic:blipFill>
                  <pic:spPr>
                    <a:xfrm>
                      <a:off x="0" y="0"/>
                      <a:ext cx="6035040" cy="4054793"/>
                    </a:xfrm>
                    <a:prstGeom prst="rect"/>
                  </pic:spPr>
                </pic:pic>
              </a:graphicData>
            </a:graphic>
          </wp:inline>
        </w:drawing>
      </w:r>
    </w:p>
    <w:p>
      <w:pPr>
        <w:pStyle w:val="Heading3"/>
      </w:pPr>
      <w:r>
        <w:t>AVGO - Broadcom Inc.</w:t>
      </w:r>
    </w:p>
    <w:p>
      <w:r>
        <w:drawing>
          <wp:inline xmlns:a="http://schemas.openxmlformats.org/drawingml/2006/main" xmlns:pic="http://schemas.openxmlformats.org/drawingml/2006/picture">
            <wp:extent cx="6035040" cy="4054793"/>
            <wp:docPr id="11" name="Picture 11"/>
            <wp:cNvGraphicFramePr>
              <a:graphicFrameLocks noChangeAspect="1"/>
            </wp:cNvGraphicFramePr>
            <a:graphic>
              <a:graphicData uri="http://schemas.openxmlformats.org/drawingml/2006/picture">
                <pic:pic>
                  <pic:nvPicPr>
                    <pic:cNvPr id="0" name="AVGO_BOLL.png"/>
                    <pic:cNvPicPr/>
                  </pic:nvPicPr>
                  <pic:blipFill>
                    <a:blip r:embed="rId19"/>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12" name="Picture 12"/>
            <wp:cNvGraphicFramePr>
              <a:graphicFrameLocks noChangeAspect="1"/>
            </wp:cNvGraphicFramePr>
            <a:graphic>
              <a:graphicData uri="http://schemas.openxmlformats.org/drawingml/2006/picture">
                <pic:pic>
                  <pic:nvPicPr>
                    <pic:cNvPr id="0" name="GOOG_BOLL.png"/>
                    <pic:cNvPicPr/>
                  </pic:nvPicPr>
                  <pic:blipFill>
                    <a:blip r:embed="rId20"/>
                    <a:stretch>
                      <a:fillRect/>
                    </a:stretch>
                  </pic:blipFill>
                  <pic:spPr>
                    <a:xfrm>
                      <a:off x="0" y="0"/>
                      <a:ext cx="6035040" cy="4054793"/>
                    </a:xfrm>
                    <a:prstGeom prst="rect"/>
                  </pic:spPr>
                </pic:pic>
              </a:graphicData>
            </a:graphic>
          </wp:inline>
        </w:drawing>
      </w:r>
    </w:p>
    <w:p>
      <w:pPr>
        <w:pStyle w:val="Heading3"/>
      </w:pPr>
      <w:r>
        <w:t>AMAT - Applied Materials, Inc.</w:t>
      </w:r>
    </w:p>
    <w:p>
      <w:r>
        <w:drawing>
          <wp:inline xmlns:a="http://schemas.openxmlformats.org/drawingml/2006/main" xmlns:pic="http://schemas.openxmlformats.org/drawingml/2006/picture">
            <wp:extent cx="6035040" cy="4054793"/>
            <wp:docPr id="13" name="Picture 13"/>
            <wp:cNvGraphicFramePr>
              <a:graphicFrameLocks noChangeAspect="1"/>
            </wp:cNvGraphicFramePr>
            <a:graphic>
              <a:graphicData uri="http://schemas.openxmlformats.org/drawingml/2006/picture">
                <pic:pic>
                  <pic:nvPicPr>
                    <pic:cNvPr id="0" name="AMAT_BOLL.png"/>
                    <pic:cNvPicPr/>
                  </pic:nvPicPr>
                  <pic:blipFill>
                    <a:blip r:embed="rId21"/>
                    <a:stretch>
                      <a:fillRect/>
                    </a:stretch>
                  </pic:blipFill>
                  <pic:spPr>
                    <a:xfrm>
                      <a:off x="0" y="0"/>
                      <a:ext cx="6035040" cy="4054793"/>
                    </a:xfrm>
                    <a:prstGeom prst="rect"/>
                  </pic:spPr>
                </pic:pic>
              </a:graphicData>
            </a:graphic>
          </wp:inline>
        </w:drawing>
      </w:r>
    </w:p>
    <w:p>
      <w:pPr>
        <w:pStyle w:val="Heading3"/>
      </w:pPr>
      <w:r>
        <w:t>LITE - Lumentum Holdings</w:t>
      </w:r>
    </w:p>
    <w:p>
      <w:r>
        <w:drawing>
          <wp:inline xmlns:a="http://schemas.openxmlformats.org/drawingml/2006/main" xmlns:pic="http://schemas.openxmlformats.org/drawingml/2006/picture">
            <wp:extent cx="6035040" cy="4054793"/>
            <wp:docPr id="14" name="Picture 14"/>
            <wp:cNvGraphicFramePr>
              <a:graphicFrameLocks noChangeAspect="1"/>
            </wp:cNvGraphicFramePr>
            <a:graphic>
              <a:graphicData uri="http://schemas.openxmlformats.org/drawingml/2006/picture">
                <pic:pic>
                  <pic:nvPicPr>
                    <pic:cNvPr id="0" name="LITE_BOLL.png"/>
                    <pic:cNvPicPr/>
                  </pic:nvPicPr>
                  <pic:blipFill>
                    <a:blip r:embed="rId22"/>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15" name="Picture 15"/>
            <wp:cNvGraphicFramePr>
              <a:graphicFrameLocks noChangeAspect="1"/>
            </wp:cNvGraphicFramePr>
            <a:graphic>
              <a:graphicData uri="http://schemas.openxmlformats.org/drawingml/2006/picture">
                <pic:pic>
                  <pic:nvPicPr>
                    <pic:cNvPr id="0" name="NOK_BOLL.png"/>
                    <pic:cNvPicPr/>
                  </pic:nvPicPr>
                  <pic:blipFill>
                    <a:blip r:embed="rId23"/>
                    <a:stretch>
                      <a:fillRect/>
                    </a:stretch>
                  </pic:blipFill>
                  <pic:spPr>
                    <a:xfrm>
                      <a:off x="0" y="0"/>
                      <a:ext cx="6035040" cy="4054793"/>
                    </a:xfrm>
                    <a:prstGeom prst="rect"/>
                  </pic:spPr>
                </pic:pic>
              </a:graphicData>
            </a:graphic>
          </wp:inline>
        </w:drawing>
      </w:r>
    </w:p>
    <w:p>
      <w:pPr>
        <w:pStyle w:val="Heading3"/>
      </w:pPr>
      <w:r>
        <w:t>SIVEF - Sivers Semiconductors</w:t>
      </w:r>
    </w:p>
    <w:p>
      <w:r>
        <w:drawing>
          <wp:inline xmlns:a="http://schemas.openxmlformats.org/drawingml/2006/main" xmlns:pic="http://schemas.openxmlformats.org/drawingml/2006/picture">
            <wp:extent cx="6035040" cy="4054793"/>
            <wp:docPr id="16" name="Picture 16"/>
            <wp:cNvGraphicFramePr>
              <a:graphicFrameLocks noChangeAspect="1"/>
            </wp:cNvGraphicFramePr>
            <a:graphic>
              <a:graphicData uri="http://schemas.openxmlformats.org/drawingml/2006/picture">
                <pic:pic>
                  <pic:nvPicPr>
                    <pic:cNvPr id="0" name="SIVEF_BOLL.png"/>
                    <pic:cNvPicPr/>
                  </pic:nvPicPr>
                  <pic:blipFill>
                    <a:blip r:embed="rId2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