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报告日期：2026-10-02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短线过热，容易回踩</w:t>
            </w:r>
          </w:p>
        </w:tc>
        <w:tc>
          <w:tcPr>
            <w:tcW w:type="dxa" w:w="1234"/>
          </w:tcPr>
          <w:p>
            <w:r>
              <w:t>9.14</w:t>
            </w:r>
          </w:p>
        </w:tc>
        <w:tc>
          <w:tcPr>
            <w:tcW w:type="dxa" w:w="1234"/>
          </w:tcPr>
          <w:p>
            <w:r>
              <w:t>偏离MA20超过15%；RSI6大于75；RSI12大于65；J线大于100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115.59</w:t>
            </w:r>
          </w:p>
        </w:tc>
        <w:tc>
          <w:tcPr>
            <w:tcW w:type="dxa" w:w="1234"/>
          </w:tcPr>
          <w:p>
            <w:r>
              <w:t>偏离MA20超过8%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89.62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23.32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14.71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58.45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81.25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7.24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当前价格：9.14</w:t>
      </w:r>
    </w:p>
    <w:p>
      <w:r>
        <w:t>短线状态：短线反弹确认；反弹确认分：7</w:t>
      </w:r>
    </w:p>
    <w:p>
      <w:r>
        <w:t>短线风险分：7；风险等级：短线过热，容易回踩</w:t>
      </w:r>
    </w:p>
    <w:p>
      <w:r>
        <w:t>指标摘要：RSI6/RSI12=77.8/66.0；K/D/J=73.2/59.9/100.0；偏离MA20=23.71%；近5日涨幅=23.51%；量能=1.82倍。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RSI6大于75</w:t>
      </w:r>
    </w:p>
    <w:p>
      <w:pPr>
        <w:pStyle w:val="ListBullet"/>
      </w:pPr>
      <w:r>
        <w:t>RSI12大于65</w:t>
      </w:r>
    </w:p>
    <w:p>
      <w:pPr>
        <w:pStyle w:val="ListBullet"/>
      </w:pPr>
      <w:r>
        <w:t>J线大于100</w:t>
      </w:r>
    </w:p>
    <w:p>
      <w:pPr>
        <w:pStyle w:val="ListBullet"/>
      </w:pPr>
      <w:r>
        <w:t>近5日涨幅超过15%</w:t>
      </w:r>
    </w:p>
    <w:p>
      <w:r>
        <w:t>建议观察位置：当前价格 9.14；MA5 8.00；MA10 7.75；MA20 7.39。若跌破MA5，短线反弹降温；若跌破MA20，反弹结构可能明显转弱。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当前价格：115.59</w:t>
      </w:r>
    </w:p>
    <w:p>
      <w:r>
        <w:t>短线状态：短线反弹确认；反弹确认分：7</w:t>
      </w:r>
    </w:p>
    <w:p>
      <w:r>
        <w:t>短线风险分：1；风险等级：短线反弹正常</w:t>
      </w:r>
    </w:p>
    <w:p>
      <w:r>
        <w:t>指标摘要：RSI6/RSI12=74.4/60.1；K/D/J=64.5/50.5/92.6；偏离MA20=12.03%；近5日涨幅=13.99%；量能=1.47倍。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r>
        <w:t>建议观察位置：当前价格 115.59；MA5 103.93；MA10 103.88；MA20 103.17。若跌破MA5，短线反弹降温；若跌破MA20，反弹结构可能明显转弱。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当前价格：89.62</w:t>
      </w:r>
    </w:p>
    <w:p>
      <w:r>
        <w:t>短线状态：短线反弹确认；反弹确认分：6</w:t>
      </w:r>
    </w:p>
    <w:p>
      <w:r>
        <w:t>短线风险分：0；风险等级：短线反弹正常</w:t>
      </w:r>
    </w:p>
    <w:p>
      <w:r>
        <w:t>指标摘要：RSI6/RSI12=63.1/54.8；K/D/J=66.2/62.5/73.7；偏离MA20=2.78%；近5日涨幅=2.32%；量能=0.77倍。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89.62；MA5 87.26；MA10 87.31；MA20 87.19。若跌破MA5，短线反弹降温；若跌破MA20，反弹结构可能明显转弱。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当前价格：23.32</w:t>
      </w:r>
    </w:p>
    <w:p>
      <w:r>
        <w:t>短线状态：短线反弹确认；反弹确认分：6</w:t>
      </w:r>
    </w:p>
    <w:p>
      <w:r>
        <w:t>短线风险分：0；风险等级：短线反弹正常</w:t>
      </w:r>
    </w:p>
    <w:p>
      <w:r>
        <w:t>指标摘要：RSI6/RSI12=55.9/53.9；K/D/J=50.7/57.9/36.4；偏离MA20=4.80%；近5日涨幅=-4.27%；量能=1.43倍。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23.32；MA5 23.26；MA10 23.18；MA20 22.25。若跌破MA5，短线反弹降温；若跌破MA20，反弹结构可能明显转弱。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当前价格：14.71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指标摘要：RSI6/RSI12=48.4/47.2；K/D/J=31.7/41.7/11.6；偏离MA20=-0.60%；近5日涨幅=-5.77%；量能=1.13倍。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14.71；MA5 14.55；MA10 15.13；MA20 14.80。若跌破MA5，短线反弹降温；若跌破MA20，反弹结构可能明显转弱。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当前价格：58.45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指标摘要：RSI6/RSI12=42.1/44.4；K/D/J=23.7/29.6/11.8；偏离MA20=-3.63%；近5日涨幅=-5.44%；量能=1.45倍。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58.45；MA5 58.95；MA10 60.32；MA20 60.65。若跌破MA5，短线反弹降温；若跌破MA20，反弹结构可能明显转弱。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当前价格：81.25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指标摘要：RSI6/RSI12=30.3/42.0；K/D/J=15.2/27.6/-9.5；偏离MA20=-9.31%；近5日涨幅=-8.71%；量能=1.03倍。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81.25；MA5 83.17；MA10 87.86；MA20 89.59。若跌破MA5，短线反弹降温；若跌破MA20，反弹结构可能明显转弱。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当前价格：7.24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指标摘要：RSI6/RSI12=39.3/42.0；K/D/J=23.7/37.2/-3.4；偏离MA20=-2.20%；近5日涨幅=-5.24%；量能=0.70倍。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7.24；MA5 7.37；MA10 7.46；MA20 7.40。若跌破MA5，短线反弹降温；若跌破MA20，反弹结构可能明显转弱。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