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- 2026-10-28</w:t>
      </w:r>
    </w:p>
    <w:p>
      <w:pPr>
        <w:pStyle w:val="ListBullet"/>
      </w:pPr>
      <w:r>
        <w:t>生成时间（美东）：2026-10-28 22:29:32 EDT</w:t>
      </w:r>
    </w:p>
    <w:p>
      <w:pPr>
        <w:pStyle w:val="ListBullet"/>
      </w:pPr>
      <w:r>
        <w:t>最新可用交易日：2026-10-28</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ORCL</w:t>
            </w:r>
          </w:p>
        </w:tc>
        <w:tc>
          <w:tcPr>
            <w:tcW w:type="dxa" w:w="960"/>
          </w:tcPr>
          <w:p>
            <w:r>
              <w:t>Oracle</w:t>
            </w:r>
          </w:p>
        </w:tc>
        <w:tc>
          <w:tcPr>
            <w:tcW w:type="dxa" w:w="960"/>
          </w:tcPr>
          <w:p>
            <w:r>
              <w:t>A 强信号</w:t>
            </w:r>
          </w:p>
        </w:tc>
        <w:tc>
          <w:tcPr>
            <w:tcW w:type="dxa" w:w="960"/>
          </w:tcPr>
          <w:p>
            <w:r>
              <w:t>中轨反弹并接近上轨；成交量放大；低位形态</w:t>
            </w:r>
          </w:p>
        </w:tc>
        <w:tc>
          <w:tcPr>
            <w:tcW w:type="dxa" w:w="960"/>
          </w:tcPr>
          <w:p>
            <w:r>
              <w:t>中轨上方</w:t>
            </w:r>
          </w:p>
        </w:tc>
        <w:tc>
          <w:tcPr>
            <w:tcW w:type="dxa" w:w="960"/>
          </w:tcPr>
          <w:p>
            <w:r>
              <w:t>19.88%</w:t>
            </w:r>
          </w:p>
        </w:tc>
        <w:tc>
          <w:tcPr>
            <w:tcW w:type="dxa" w:w="960"/>
          </w:tcPr>
          <w:p>
            <w:r>
              <w:t>0.846</w:t>
            </w:r>
          </w:p>
        </w:tc>
        <w:tc>
          <w:tcPr>
            <w:tcW w:type="dxa" w:w="960"/>
          </w:tcPr>
          <w:p>
            <w:r>
              <w:t>2.65</w:t>
            </w:r>
          </w:p>
        </w:tc>
        <w:tc>
          <w:tcPr>
            <w:tcW w:type="dxa" w:w="960"/>
          </w:tcPr>
          <w:p>
            <w:r>
              <w:t>股价从中轨附近反弹并接近上轨，且成交量放大，说明短线修复增强；若后续能维持中轨支撑并突破上</w:t>
            </w:r>
          </w:p>
        </w:tc>
      </w:tr>
      <w:tr>
        <w:tc>
          <w:tcPr>
            <w:tcW w:type="dxa" w:w="960"/>
          </w:tcPr>
          <w:p>
            <w:r>
              <w:t>MSFT</w:t>
            </w:r>
          </w:p>
        </w:tc>
        <w:tc>
          <w:tcPr>
            <w:tcW w:type="dxa" w:w="960"/>
          </w:tcPr>
          <w:p>
            <w:r>
              <w:t>Microsoft Corporation</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5.62%</w:t>
            </w:r>
          </w:p>
        </w:tc>
        <w:tc>
          <w:tcPr>
            <w:tcW w:type="dxa" w:w="960"/>
          </w:tcPr>
          <w:p>
            <w:r>
              <w:t>0.537</w:t>
            </w:r>
          </w:p>
        </w:tc>
        <w:tc>
          <w:tcPr>
            <w:tcW w:type="dxa" w:w="960"/>
          </w:tcPr>
          <w:p>
            <w:r>
              <w:t>1.38</w:t>
            </w:r>
          </w:p>
        </w:tc>
        <w:tc>
          <w:tcPr>
            <w:tcW w:type="dxa" w:w="960"/>
          </w:tcPr>
          <w:p>
            <w:r>
              <w:t>布林带收口，说明波动率下降，股价可能处于蓄势阶段，但方向尚未确认。</w:t>
            </w:r>
          </w:p>
        </w:tc>
      </w:tr>
      <w:tr>
        <w:tc>
          <w:tcPr>
            <w:tcW w:type="dxa" w:w="960"/>
          </w:tcPr>
          <w:p>
            <w:r>
              <w:t>TSLA</w:t>
            </w:r>
          </w:p>
        </w:tc>
        <w:tc>
          <w:tcPr>
            <w:tcW w:type="dxa" w:w="960"/>
          </w:tcPr>
          <w:p>
            <w:r>
              <w:t>Tesla, Inc.</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14.08%</w:t>
            </w:r>
          </w:p>
        </w:tc>
        <w:tc>
          <w:tcPr>
            <w:tcW w:type="dxa" w:w="960"/>
          </w:tcPr>
          <w:p>
            <w:r>
              <w:t>1.017</w:t>
            </w:r>
          </w:p>
        </w:tc>
        <w:tc>
          <w:tcPr>
            <w:tcW w:type="dxa" w:w="960"/>
          </w:tcPr>
          <w:p>
            <w:r>
              <w:t>0.95</w:t>
            </w:r>
          </w:p>
        </w:tc>
        <w:tc>
          <w:tcPr>
            <w:tcW w:type="dxa" w:w="960"/>
          </w:tcPr>
          <w:p>
            <w:r>
              <w:t>股价突破布林线上轨，但成交量确认不足，可能是假突破，需要下一交易日确认。</w:t>
            </w:r>
          </w:p>
        </w:tc>
      </w:tr>
      <w:tr>
        <w:tc>
          <w:tcPr>
            <w:tcW w:type="dxa" w:w="960"/>
          </w:tcPr>
          <w:p>
            <w:r>
              <w:t>PLTR</w:t>
            </w:r>
          </w:p>
        </w:tc>
        <w:tc>
          <w:tcPr>
            <w:tcW w:type="dxa" w:w="960"/>
          </w:tcPr>
          <w:p>
            <w:r>
              <w:t>Palantir Technologies Inc.</w:t>
            </w:r>
          </w:p>
        </w:tc>
        <w:tc>
          <w:tcPr>
            <w:tcW w:type="dxa" w:w="960"/>
          </w:tcPr>
          <w:p>
            <w:r>
              <w:t>C 观察信号</w:t>
            </w:r>
          </w:p>
        </w:tc>
        <w:tc>
          <w:tcPr>
            <w:tcW w:type="dxa" w:w="960"/>
          </w:tcPr>
          <w:p>
            <w:r>
              <w:t>弱收口：Bandwidth连续8天维持低于近8个月30%分位；中轨附近窄幅震荡</w:t>
            </w:r>
          </w:p>
        </w:tc>
        <w:tc>
          <w:tcPr>
            <w:tcW w:type="dxa" w:w="960"/>
          </w:tcPr>
          <w:p>
            <w:r>
              <w:t>中轨附近</w:t>
            </w:r>
          </w:p>
        </w:tc>
        <w:tc>
          <w:tcPr>
            <w:tcW w:type="dxa" w:w="960"/>
          </w:tcPr>
          <w:p>
            <w:r>
              <w:t>13.15%</w:t>
            </w:r>
          </w:p>
        </w:tc>
        <w:tc>
          <w:tcPr>
            <w:tcW w:type="dxa" w:w="960"/>
          </w:tcPr>
          <w:p>
            <w:r>
              <w:t>0.487</w:t>
            </w:r>
          </w:p>
        </w:tc>
        <w:tc>
          <w:tcPr>
            <w:tcW w:type="dxa" w:w="960"/>
          </w:tcPr>
          <w:p>
            <w:r>
              <w:t>0.92</w:t>
            </w:r>
          </w:p>
        </w:tc>
        <w:tc>
          <w:tcPr>
            <w:tcW w:type="dxa" w:w="960"/>
          </w:tcPr>
          <w:p>
            <w:r>
              <w:t>布林带收口，说明波动率下降，股价可能处于蓄势阶段，但方向尚未确认。</w:t>
            </w:r>
          </w:p>
        </w:tc>
      </w:tr>
    </w:tbl>
    <w:p>
      <w:pPr>
        <w:pStyle w:val="Heading2"/>
      </w:pPr>
      <w:r>
        <w:t>二、重点结论</w:t>
      </w:r>
    </w:p>
    <w:p>
      <w:pPr>
        <w:pStyle w:val="ListBullet"/>
      </w:pPr>
      <w:r>
        <w:t>强信号：ORCL。</w:t>
      </w:r>
    </w:p>
    <w:p>
      <w:pPr>
        <w:pStyle w:val="ListBullet"/>
      </w:pPr>
      <w:r>
        <w:t>中等信号：无。</w:t>
      </w:r>
    </w:p>
    <w:p>
      <w:pPr>
        <w:pStyle w:val="ListBullet"/>
      </w:pPr>
      <w:r>
        <w:t>观察信号：MSFT, TSLA, PLTR。</w:t>
      </w:r>
    </w:p>
    <w:p>
      <w:pPr>
        <w:pStyle w:val="ListBullet"/>
      </w:pPr>
      <w:r>
        <w:t>今日优先复核：ORCL, MSFT, TSLA, PLTR。优先看是否放量、能否站稳上轨或中轨。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ORCL - Oracle</w:t>
      </w:r>
    </w:p>
    <w:p>
      <w:pPr>
        <w:pStyle w:val="ListBullet"/>
      </w:pPr>
      <w:r>
        <w:t>信号等级：A 强信号</w:t>
      </w:r>
    </w:p>
    <w:p>
      <w:pPr>
        <w:pStyle w:val="ListBullet"/>
      </w:pPr>
      <w:r>
        <w:t>最新收盘价：$144.54</w:t>
      </w:r>
    </w:p>
    <w:p>
      <w:pPr>
        <w:pStyle w:val="ListBullet"/>
      </w:pPr>
      <w:r>
        <w:t>BOLL：上轨 $148.68；中轨 $135.24；下轨 $121.80</w:t>
      </w:r>
    </w:p>
    <w:p>
      <w:pPr>
        <w:pStyle w:val="ListBullet"/>
      </w:pPr>
      <w:r>
        <w:t>Bandwidth：19.88%；历史分位：42.26%；%B：0.846</w:t>
      </w:r>
    </w:p>
    <w:p>
      <w:pPr>
        <w:pStyle w:val="ListBullet"/>
      </w:pPr>
      <w:r>
        <w:t>成交量：当日 81418100；20日均量 30682605；量比 2.65</w:t>
      </w:r>
    </w:p>
    <w:p>
      <w:pPr>
        <w:pStyle w:val="ListBullet"/>
      </w:pPr>
      <w:r>
        <w:t>触发信号：中轨反弹并接近上轨；成交量放大；低位形态</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MSFT - Microsoft Corporation</w:t>
      </w:r>
    </w:p>
    <w:p>
      <w:pPr>
        <w:pStyle w:val="ListBullet"/>
      </w:pPr>
      <w:r>
        <w:t>信号等级：C 观察信号</w:t>
      </w:r>
    </w:p>
    <w:p>
      <w:pPr>
        <w:pStyle w:val="ListBullet"/>
      </w:pPr>
      <w:r>
        <w:t>最新收盘价：$531.01</w:t>
      </w:r>
    </w:p>
    <w:p>
      <w:pPr>
        <w:pStyle w:val="ListBullet"/>
      </w:pPr>
      <w:r>
        <w:t>BOLL：上轨 $544.78；中轨 $529.90；下轨 $515.01</w:t>
      </w:r>
    </w:p>
    <w:p>
      <w:pPr>
        <w:pStyle w:val="ListBullet"/>
      </w:pPr>
      <w:r>
        <w:t>Bandwidth：5.62%；历史分位：5.95%；%B：0.537</w:t>
      </w:r>
    </w:p>
    <w:p>
      <w:pPr>
        <w:pStyle w:val="ListBullet"/>
      </w:pPr>
      <w:r>
        <w:t>成交量：当日 27681000；20日均量 20097875；量比 1.38</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TSLA - Tesla, Inc.</w:t>
      </w:r>
    </w:p>
    <w:p>
      <w:pPr>
        <w:pStyle w:val="ListBullet"/>
      </w:pPr>
      <w:r>
        <w:t>信号等级：C 观察信号</w:t>
      </w:r>
    </w:p>
    <w:p>
      <w:pPr>
        <w:pStyle w:val="ListBullet"/>
      </w:pPr>
      <w:r>
        <w:t>最新收盘价：$404.22</w:t>
      </w:r>
    </w:p>
    <w:p>
      <w:pPr>
        <w:pStyle w:val="ListBullet"/>
      </w:pPr>
      <w:r>
        <w:t>BOLL：上轨 $403.31；中轨 $376.78；下轨 $350.25</w:t>
      </w:r>
    </w:p>
    <w:p>
      <w:pPr>
        <w:pStyle w:val="ListBullet"/>
      </w:pPr>
      <w:r>
        <w:t>Bandwidth：14.08%；历史分位：39.29%；%B：1.017</w:t>
      </w:r>
    </w:p>
    <w:p>
      <w:pPr>
        <w:pStyle w:val="ListBullet"/>
      </w:pPr>
      <w:r>
        <w:t>成交量：当日 35450700；20日均量 37391010；量比 0.95</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PLTR - Palantir Technologies Inc.</w:t>
      </w:r>
    </w:p>
    <w:p>
      <w:pPr>
        <w:pStyle w:val="ListBullet"/>
      </w:pPr>
      <w:r>
        <w:t>信号等级：C 观察信号</w:t>
      </w:r>
    </w:p>
    <w:p>
      <w:pPr>
        <w:pStyle w:val="ListBullet"/>
      </w:pPr>
      <w:r>
        <w:t>最新收盘价：$196.81</w:t>
      </w:r>
    </w:p>
    <w:p>
      <w:pPr>
        <w:pStyle w:val="ListBullet"/>
      </w:pPr>
      <w:r>
        <w:t>BOLL：上轨 $210.12；中轨 $197.16；下轨 $184.20</w:t>
      </w:r>
    </w:p>
    <w:p>
      <w:pPr>
        <w:pStyle w:val="ListBullet"/>
      </w:pPr>
      <w:r>
        <w:t>Bandwidth：13.15%；历史分位：10.71%；%B：0.487</w:t>
      </w:r>
    </w:p>
    <w:p>
      <w:pPr>
        <w:pStyle w:val="ListBullet"/>
      </w:pPr>
      <w:r>
        <w:t>成交量：当日 20744600；20日均量 22486000；量比 0.92</w:t>
      </w:r>
    </w:p>
    <w:p>
      <w:pPr>
        <w:pStyle w:val="ListBullet"/>
      </w:pPr>
      <w:r>
        <w:t>触发信号：弱收口：Bandwidth连续8天维持低于近8个月30%分位；中轨附近窄幅震荡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NOK（Nokia Oyj）, XE（X-energy）, RKLB（Rocket Lab USA）, NBIS（Nebius Group）, ARM（Arm Holdings）, OPTX（Syntec Optics Holdings）, GLW（Corning）, COHR（Coherent）, LITE（Lumentum Holdings）, MRVL（Marvell Technology）, INTC（Intel）, ALAB（Astera Labs）, CRWV（CoreWeave）, NVTS（Navitas Semiconductor）, POET（POET Technologies）, DELL（Dell Technologies）, BB（BlackBerry）, ONDS（Ondas Holdings）, SMR（NuScale Power）, OKLO（Oklo）, IONQ（IonQ）, QBTS（D-Wave Quantum）, NVDA（NVIDIA）, AMZN（Amazon.com）, AMD（Advanced Micro Devices）, CRCL（Circle Internet Group）, FLY（Firefly Aerospace）, CBRS（Chain Bridge Bancorp）, SIVEF（Sivers Semiconductors）, SHAZ（Shaz）, LUNR（Intuitive Machines）, ASTS（AST SpaceMobile）, AAOI（Applied Optoelectronics）, SPCX（Space Exploration Technologies）, RDW（Redwire Corporation）, QCOM（QUALCOMM Incorporated）, COIN（Coinbase Global, Inc.）, VELO（Velo3D, Inc.）, GOOG（Alphabet Inc.）, AVGO（Broadcom Inc.）, AMAT（Applied Materials, Inc.）, AMKR（Amkor Technology, Inc.）, LRCX（Lam Research Corporation）, SNDK（Sandisk Corporation）, MU（Micron Technology, Inc.）, IBM（International Business Machines）, FORM（FormFactor, Inc.）, MXL（MaxLinear, Inc）, MRNA（Moderna, Inc.）, BE（Bloom Energy Corporation）</w:t>
      </w:r>
    </w:p>
    <w:p>
      <w:r>
        <w:br w:type="page"/>
      </w:r>
    </w:p>
    <w:p>
      <w:pPr>
        <w:pStyle w:val="Heading2"/>
      </w:pPr>
      <w:r>
        <w:t>六、触发股票 BOLL 图表</w:t>
      </w:r>
    </w:p>
    <w:p>
      <w:pPr>
        <w:pStyle w:val="Heading3"/>
      </w:pPr>
      <w:r>
        <w:t>ORCL - Oracle</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ORCL_BOLL.png"/>
                    <pic:cNvPicPr/>
                  </pic:nvPicPr>
                  <pic:blipFill>
                    <a:blip r:embed="rId9"/>
                    <a:stretch>
                      <a:fillRect/>
                    </a:stretch>
                  </pic:blipFill>
                  <pic:spPr>
                    <a:xfrm>
                      <a:off x="0" y="0"/>
                      <a:ext cx="6035040" cy="4054793"/>
                    </a:xfrm>
                    <a:prstGeom prst="rect"/>
                  </pic:spPr>
                </pic:pic>
              </a:graphicData>
            </a:graphic>
          </wp:inline>
        </w:drawing>
      </w:r>
    </w:p>
    <w:p>
      <w:pPr>
        <w:pStyle w:val="Heading3"/>
      </w:pPr>
      <w:r>
        <w:t>MSFT - Microsoft Corporation</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MSFT_BOLL.png"/>
                    <pic:cNvPicPr/>
                  </pic:nvPicPr>
                  <pic:blipFill>
                    <a:blip r:embed="rId10"/>
                    <a:stretch>
                      <a:fillRect/>
                    </a:stretch>
                  </pic:blipFill>
                  <pic:spPr>
                    <a:xfrm>
                      <a:off x="0" y="0"/>
                      <a:ext cx="6035040" cy="4054793"/>
                    </a:xfrm>
                    <a:prstGeom prst="rect"/>
                  </pic:spPr>
                </pic:pic>
              </a:graphicData>
            </a:graphic>
          </wp:inline>
        </w:drawing>
      </w:r>
    </w:p>
    <w:p>
      <w:pPr>
        <w:pStyle w:val="Heading3"/>
      </w:pPr>
      <w:r>
        <w:t>TSLA - Tesla, Inc.</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TSLA_BOLL.png"/>
                    <pic:cNvPicPr/>
                  </pic:nvPicPr>
                  <pic:blipFill>
                    <a:blip r:embed="rId11"/>
                    <a:stretch>
                      <a:fillRect/>
                    </a:stretch>
                  </pic:blipFill>
                  <pic:spPr>
                    <a:xfrm>
                      <a:off x="0" y="0"/>
                      <a:ext cx="6035040" cy="4054793"/>
                    </a:xfrm>
                    <a:prstGeom prst="rect"/>
                  </pic:spPr>
                </pic:pic>
              </a:graphicData>
            </a:graphic>
          </wp:inline>
        </w:drawing>
      </w:r>
    </w:p>
    <w:p>
      <w:pPr>
        <w:pStyle w:val="Heading3"/>
      </w:pPr>
      <w:r>
        <w:t>PLTR - Palantir Technologies Inc.</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PLTR_BOLL.png"/>
                    <pic:cNvPicPr/>
                  </pic:nvPicPr>
                  <pic:blipFill>
                    <a:blip r:embed="rId12"/>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