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报告日期：2026-10-28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63.93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19.85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82.22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11.59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81.71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6.86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当前价格：7.24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RSI：RSI6=56.3；RSI12=48.9；RSI24=47.8；未进入过热见顶评分</w:t>
      </w:r>
    </w:p>
    <w:p>
      <w:pPr>
        <w:pStyle w:val="ListBullet"/>
      </w:pPr>
      <w:r>
        <w:t>MA20/50/200：MA20=7.65；MA50=7.64；MA200=8.15；MA20高于MA50</w:t>
      </w:r>
    </w:p>
    <w:p>
      <w:pPr>
        <w:pStyle w:val="ListBullet"/>
      </w:pPr>
      <w:r>
        <w:t>成交量变化：Volume/MA20=0.59倍；成交量为20日均量的0.59倍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7.24；MA20 7.65；MA50 7.64；MA200 8.15。若后续有效跌破MA50，趋势进一步恶化的概率上升。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当前价格：42.30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RSI：RSI6=45.6；RSI12=37.4；RSI24=38.9；未进入过热见顶评分</w:t>
      </w:r>
    </w:p>
    <w:p>
      <w:pPr>
        <w:pStyle w:val="ListBullet"/>
      </w:pPr>
      <w:r>
        <w:t>MA20/50/200：MA20=47.88；MA50=55.97；MA200=78.02；未满足上升趋势过滤条件</w:t>
      </w:r>
    </w:p>
    <w:p>
      <w:pPr>
        <w:pStyle w:val="ListBullet"/>
      </w:pPr>
      <w:r>
        <w:t>成交量变化：Volume/MA20=0.62倍；成交量为20日均量的0.62倍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42.30；MA20 47.88；MA50 55.97；MA200 78.02。若后续有效跌破MA50，趋势进一步恶化的概率上升。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当前价格：63.93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RSI：RSI6=52.3；RSI12=41.5；RSI24=41.4；未进入过热见顶评分</w:t>
      </w:r>
    </w:p>
    <w:p>
      <w:pPr>
        <w:pStyle w:val="ListBullet"/>
      </w:pPr>
      <w:r>
        <w:t>MA20/50/200：MA20=71.90；MA50=80.75；MA200=91.66；未满足上升趋势过滤条件</w:t>
      </w:r>
    </w:p>
    <w:p>
      <w:pPr>
        <w:pStyle w:val="ListBullet"/>
      </w:pPr>
      <w:r>
        <w:t>成交量变化：Volume/MA20=1.06倍；成交量为20日均量的1.06倍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63.93；MA20 71.90；MA50 80.75；MA200 91.66。若后续有效跌破MA50，趋势进一步恶化的概率上升。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当前价格：19.85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RSI：RSI6=67.6；RSI12=52.5；RSI24=47.1；未进入过热见顶评分</w:t>
      </w:r>
    </w:p>
    <w:p>
      <w:pPr>
        <w:pStyle w:val="ListBullet"/>
      </w:pPr>
      <w:r>
        <w:t>MA20/50/200：MA20=19.37；MA50=21.09；MA200=27.30；收盘价站上MA20</w:t>
      </w:r>
    </w:p>
    <w:p>
      <w:pPr>
        <w:pStyle w:val="ListBullet"/>
      </w:pPr>
      <w:r>
        <w:t>成交量变化：Volume/MA20=0.61倍；成交量为20日均量的0.61倍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19.85；MA20 19.37；MA50 21.09；MA200 27.30。若后续有效跌破MA50，趋势进一步恶化的概率上升。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当前价格：82.22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RSI：RSI6=54.2；RSI12=44.4；RSI24=43.7；未进入过热见顶评分</w:t>
      </w:r>
    </w:p>
    <w:p>
      <w:pPr>
        <w:pStyle w:val="ListBullet"/>
      </w:pPr>
      <w:r>
        <w:t>MA20/50/200：MA20=92.78；MA50=100.82；MA200=113.78；未满足上升趋势过滤条件</w:t>
      </w:r>
    </w:p>
    <w:p>
      <w:pPr>
        <w:pStyle w:val="ListBullet"/>
      </w:pPr>
      <w:r>
        <w:t>成交量变化：Volume/MA20=0.96倍；成交量为20日均量的0.96倍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82.22；MA20 92.78；MA50 100.82；MA200 113.78。若后续有效跌破MA50，趋势进一步恶化的概率上升。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当前价格：11.59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RSI：RSI6=55.7；RSI12=43.4；RSI24=41.7；未进入过热见顶评分</w:t>
      </w:r>
    </w:p>
    <w:p>
      <w:pPr>
        <w:pStyle w:val="ListBullet"/>
      </w:pPr>
      <w:r>
        <w:t>MA20/50/200：MA20=12.23；MA50=14.14；MA200=19.84；未满足上升趋势过滤条件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11.59；MA20 12.23；MA50 14.14；MA200 19.84。若后续有效跌破MA50，趋势进一步恶化的概率上升。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当前价格：81.71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RSI：RSI6=43.2；RSI12=45.9；RSI24=48.3；未进入过热见顶评分</w:t>
      </w:r>
    </w:p>
    <w:p>
      <w:pPr>
        <w:pStyle w:val="ListBullet"/>
      </w:pPr>
      <w:r>
        <w:t>MA20/50/200：MA20=83.36；MA50=87.46；MA200=86.14；MA50高于MA200；MA50斜率向上；近60日收益为正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81.71；MA20 83.36；MA50 87.46；MA200 86.14。若后续有效跌破MA50，趋势进一步恶化的概率上升。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当前价格：6.86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RSI：RSI6=69.1；RSI12=54.3；RSI24=47.4；未进入过热见顶评分</w:t>
      </w:r>
    </w:p>
    <w:p>
      <w:pPr>
        <w:pStyle w:val="ListBullet"/>
      </w:pPr>
      <w:r>
        <w:t>MA20/50/200：MA20=6.61；MA50=7.26；MA200=9.11；收盘价站上MA20</w:t>
      </w:r>
    </w:p>
    <w:p>
      <w:pPr>
        <w:pStyle w:val="ListBullet"/>
      </w:pPr>
      <w:r>
        <w:t>成交量变化：Volume/MA20=1.07倍；成交量为20日均量的1.07倍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6.86；MA20 6.61；MA50 7.26；MA200 9.11。若后续有效跌破MA50，趋势进一步恶化的概率上升。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