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报告日期：2026-10-28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9.40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8.81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BB</w:t>
      </w:r>
    </w:p>
    <w:p>
      <w:r>
        <w:t>基础信息：日期 2026-10-28；当前价格 9.40；信号等级 C. 观察信号。</w:t>
      </w:r>
    </w:p>
    <w:p>
      <w:r>
        <w:t>BOLL：上轨 9.77；中轨 8.87；下轨 7.97；Bandwidth 20.29%。</w:t>
      </w:r>
    </w:p>
    <w:p>
      <w:r>
        <w:t>MACD：DIF 0.1967；DEA 0.1218；MACD柱 0.0748；是否死叉：是。</w:t>
      </w:r>
    </w:p>
    <w:p>
      <w:r>
        <w:t>RSI：RSI6 60.72；RSI12 57.45；RSI24 54.72。</w:t>
      </w:r>
    </w:p>
    <w:p>
      <w:r>
        <w:t>均线：MA20 8.87；MA50 8.40；MA200 N/A。</w:t>
      </w:r>
    </w:p>
    <w:p>
      <w:r>
        <w:t>成交量：当日成交量 11254900；20日平均成交量 13796965；成交量倍数 0.82。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2026-10-28；当前价格 1.72；信号等级 C. 观察信号。</w:t>
      </w:r>
    </w:p>
    <w:p>
      <w:r>
        <w:t>BOLL：上轨 1.69；中轨 1.35；下轨 1.01；Bandwidth 50.61%。</w:t>
      </w:r>
    </w:p>
    <w:p>
      <w:r>
        <w:t>MACD：DIF 0.1423；DEA 0.1137；MACD柱 0.0286；是否死叉：是。</w:t>
      </w:r>
    </w:p>
    <w:p>
      <w:r>
        <w:t>RSI：RSI6 77.90；RSI12 69.33；RSI24 65.42。</w:t>
      </w:r>
    </w:p>
    <w:p>
      <w:r>
        <w:t>均线：MA20 1.35；MA50 1.01；MA200 N/A。</w:t>
      </w:r>
    </w:p>
    <w:p>
      <w:r>
        <w:t>成交量：当日成交量 9976400；20日平均成交量 12181720；成交量倍数 0.82。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IBRX</w:t>
      </w:r>
    </w:p>
    <w:p>
      <w:r>
        <w:t>基础信息：日期 2026-10-28；当前价格 8.81；信号等级 C. 观察信号。</w:t>
      </w:r>
    </w:p>
    <w:p>
      <w:r>
        <w:t>BOLL：上轨 10.91；中轨 9.32；下轨 7.73；Bandwidth 34.15%。</w:t>
      </w:r>
    </w:p>
    <w:p>
      <w:r>
        <w:t>MACD：DIF -0.1222；DEA 0.0414；MACD柱 -0.1636；是否死叉：是。</w:t>
      </w:r>
    </w:p>
    <w:p>
      <w:r>
        <w:t>RSI：RSI6 51.63；RSI12 48.78；RSI24 50.05。</w:t>
      </w:r>
    </w:p>
    <w:p>
      <w:r>
        <w:t>均线：MA20 9.32；MA50 8.69；MA200 N/A。</w:t>
      </w:r>
    </w:p>
    <w:p>
      <w:r>
        <w:t>成交量：当日成交量 7144500；20日平均成交量 15261980；成交量倍数 0.47。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1"/>
      </w:pPr>
      <w:r>
        <w:t>三、自动生成风险总结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8.40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1.01 的支撑或压力变化。</w:t>
      </w:r>
    </w:p>
    <w:p>
      <w:r>
        <w:t>IBRX：C.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8.69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