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报告日期：2026-10-28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19.85</w:t>
            </w:r>
          </w:p>
        </w:tc>
        <w:tc>
          <w:tcPr>
            <w:tcW w:type="dxa" w:w="1234"/>
          </w:tcPr>
          <w:p>
            <w:r>
              <w:t>J线大于100；RSI6掉头向下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6.86</w:t>
            </w:r>
          </w:p>
        </w:tc>
        <w:tc>
          <w:tcPr>
            <w:tcW w:type="dxa" w:w="1234"/>
          </w:tcPr>
          <w:p>
            <w:r>
              <w:t>J线大于100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11.59</w:t>
            </w:r>
          </w:p>
        </w:tc>
        <w:tc>
          <w:tcPr>
            <w:tcW w:type="dxa" w:w="1234"/>
          </w:tcPr>
          <w:p>
            <w:r>
              <w:t>J线大于100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7.24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42.30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63.93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82.22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81.71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FLY</w:t>
      </w:r>
    </w:p>
    <w:p>
      <w:r>
        <w:t>当前价格：19.85</w:t>
      </w:r>
    </w:p>
    <w:p>
      <w:r>
        <w:t>短线状态：短线反弹确认；反弹确认分：7</w:t>
      </w:r>
    </w:p>
    <w:p>
      <w:r>
        <w:t>短线风险分：3；风险等级：短线反弹正常</w:t>
      </w:r>
    </w:p>
    <w:p>
      <w:r>
        <w:t>指标摘要：RSI6/RSI12=67.6/52.5；K/D/J=75.2/54.9/115.8；偏离MA20=2.47%；近5日涨幅=12.43%；量能=0.61倍。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J线大于100</w:t>
      </w:r>
    </w:p>
    <w:p>
      <w:pPr>
        <w:pStyle w:val="ListBullet"/>
      </w:pPr>
      <w:r>
        <w:t>RSI6掉头向下</w:t>
      </w:r>
    </w:p>
    <w:p>
      <w:r>
        <w:t>建议观察位置：当前价格 19.85；MA5 18.75；MA10 17.89；MA20 19.37。若跌破MA5，短线反弹降温；若跌破MA20，反弹结构可能明显转弱。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当前价格：6.86</w:t>
      </w:r>
    </w:p>
    <w:p>
      <w:r>
        <w:t>短线状态：短线反弹确认；反弹确认分：7</w:t>
      </w:r>
    </w:p>
    <w:p>
      <w:r>
        <w:t>短线风险分：2；风险等级：短线反弹正常</w:t>
      </w:r>
    </w:p>
    <w:p>
      <w:r>
        <w:t>指标摘要：RSI6/RSI12=69.1/54.3；K/D/J=68.6/46.7/112.6；偏离MA20=3.79%；近5日涨幅=9.41%；量能=1.07倍。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J线大于100</w:t>
      </w:r>
    </w:p>
    <w:p>
      <w:r>
        <w:t>建议观察位置：当前价格 6.86；MA5 6.38；MA10 6.27；MA20 6.61。若跌破MA5，短线反弹降温；若跌破MA20，反弹结构可能明显转弱。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当前价格：11.59</w:t>
      </w:r>
    </w:p>
    <w:p>
      <w:r>
        <w:t>短线状态：短线反弹确认；反弹确认分：5</w:t>
      </w:r>
    </w:p>
    <w:p>
      <w:r>
        <w:t>短线风险分：2；风险等级：短线反弹正常</w:t>
      </w:r>
    </w:p>
    <w:p>
      <w:r>
        <w:t>指标摘要：RSI6/RSI12=55.7/43.4；K/D/J=57.0/35.0/101.0；偏离MA20=-5.24%；近5日涨幅=6.23%；量能=0.73倍。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J线大于100</w:t>
      </w:r>
    </w:p>
    <w:p>
      <w:r>
        <w:t>建议观察位置：当前价格 11.59；MA5 10.92；MA10 10.91；MA20 12.23。若跌破MA5，短线反弹降温；若跌破MA20，反弹结构可能明显转弱。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当前价格：7.24</w:t>
      </w:r>
    </w:p>
    <w:p>
      <w:r>
        <w:t>短线状态：短线反弹初步成立；反弹确认分：4</w:t>
      </w:r>
    </w:p>
    <w:p>
      <w:r>
        <w:t>短线风险分：0；风险等级：短线反弹正常</w:t>
      </w:r>
    </w:p>
    <w:p>
      <w:r>
        <w:t>指标摘要：RSI6/RSI12=56.3/48.9；K/D/J=55.9/36.7/94.3；偏离MA20=-5.33%；近5日涨幅=1.97%；量能=0.59倍。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7.24；MA5 6.84；MA10 6.84；MA20 7.65。若跌破MA5，短线反弹降温；若跌破MA20，反弹结构可能明显转弱。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当前价格：42.30</w:t>
      </w:r>
    </w:p>
    <w:p>
      <w:r>
        <w:t>短线状态：短线反弹初步成立；反弹确认分：4</w:t>
      </w:r>
    </w:p>
    <w:p>
      <w:r>
        <w:t>短线风险分：0；风险等级：短线反弹正常</w:t>
      </w:r>
    </w:p>
    <w:p>
      <w:r>
        <w:t>指标摘要：RSI6/RSI12=45.6/37.4；K/D/J=48.3/30.2/84.3；偏离MA20=-11.65%；近5日涨幅=3.42%；量能=0.62倍。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42.30；MA5 40.45；MA10 41.13；MA20 47.88。若跌破MA5，短线反弹降温；若跌破MA20，反弹结构可能明显转弱。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当前价格：63.93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指标摘要：RSI6/RSI12=52.3/41.5；K/D/J=42.9/25.2/78.3；偏离MA20=-11.08%；近5日涨幅=3.41%；量能=1.06倍。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63.93；MA5 57.70；MA10 60.47；MA20 71.90。若跌破MA5，短线反弹降温；若跌破MA20，反弹结构可能明显转弱。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当前价格：82.22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指标摘要：RSI6/RSI12=54.2/44.4；K/D/J=48.3/26.5/92.0；偏离MA20=-11.38%；近5日涨幅=6.34%；量能=0.96倍。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82.22；MA5 73.34；MA10 75.83；MA20 92.78。若跌破MA5，短线反弹降温；若跌破MA20，反弹结构可能明显转弱。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当前价格：81.71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指标摘要：RSI6/RSI12=43.2/45.9；K/D/J=40.4/51.2/18.9；偏离MA20=-1.98%；近5日涨幅=-8.92%；量能=0.67倍。</w:t>
      </w:r>
    </w:p>
    <w:p>
      <w:r>
        <w:t>反弹成立条件：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81.71；MA5 83.13；MA10 84.18；MA20 83.36。若跌破MA5，短线反弹降温；若跌破MA20，反弹结构可能明显转弱。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