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- 2026-08-24</w:t>
      </w:r>
    </w:p>
    <w:p>
      <w:pPr>
        <w:pStyle w:val="ListBullet"/>
      </w:pPr>
      <w:r>
        <w:t>生成时间（美东）：2026-08-24 19:16:06 EDT</w:t>
      </w:r>
    </w:p>
    <w:p>
      <w:pPr>
        <w:pStyle w:val="ListBullet"/>
      </w:pPr>
      <w:r>
        <w:t>最新可用交易日：2026-08-24</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COIN</w:t>
            </w:r>
          </w:p>
        </w:tc>
        <w:tc>
          <w:tcPr>
            <w:tcW w:type="dxa" w:w="960"/>
          </w:tcPr>
          <w:p>
            <w:r>
              <w:t>Coinbase Global, Inc.</w:t>
            </w:r>
          </w:p>
        </w:tc>
        <w:tc>
          <w:tcPr>
            <w:tcW w:type="dxa" w:w="960"/>
          </w:tcPr>
          <w:p>
            <w:r>
              <w:t>A 强信号</w:t>
            </w:r>
          </w:p>
        </w:tc>
        <w:tc>
          <w:tcPr>
            <w:tcW w:type="dxa" w:w="960"/>
          </w:tcPr>
          <w:p>
            <w:r>
              <w:t>布林带向上开口（最近3天）；成交量放大；中轨反弹并接近上轨；成交量放大</w:t>
            </w:r>
          </w:p>
        </w:tc>
        <w:tc>
          <w:tcPr>
            <w:tcW w:type="dxa" w:w="960"/>
          </w:tcPr>
          <w:p>
            <w:r>
              <w:t>靠近上轨</w:t>
            </w:r>
          </w:p>
        </w:tc>
        <w:tc>
          <w:tcPr>
            <w:tcW w:type="dxa" w:w="960"/>
          </w:tcPr>
          <w:p>
            <w:r>
              <w:t>29.66%</w:t>
            </w:r>
          </w:p>
        </w:tc>
        <w:tc>
          <w:tcPr>
            <w:tcW w:type="dxa" w:w="960"/>
          </w:tcPr>
          <w:p>
            <w:r>
              <w:t>0.998</w:t>
            </w:r>
          </w:p>
        </w:tc>
        <w:tc>
          <w:tcPr>
            <w:tcW w:type="dxa" w:w="960"/>
          </w:tcPr>
          <w:p>
            <w:r>
              <w:t>1.35</w:t>
            </w:r>
          </w:p>
        </w:tc>
        <w:tc>
          <w:tcPr>
            <w:tcW w:type="dxa" w:w="960"/>
          </w:tcPr>
          <w:p>
            <w:r>
              <w:t>布林带向上开口，说明波动率开始放大，股价接近上轨，可能进入趋势启动观察阶段，需要继续结合突</w:t>
            </w:r>
          </w:p>
        </w:tc>
      </w:tr>
      <w:tr>
        <w:tc>
          <w:tcPr>
            <w:tcW w:type="dxa" w:w="960"/>
          </w:tcPr>
          <w:p>
            <w:r>
              <w:t>CRCL</w:t>
            </w:r>
          </w:p>
        </w:tc>
        <w:tc>
          <w:tcPr>
            <w:tcW w:type="dxa" w:w="960"/>
          </w:tcPr>
          <w:p>
            <w:r>
              <w:t>Circle Internet Group</w:t>
            </w:r>
          </w:p>
        </w:tc>
        <w:tc>
          <w:tcPr>
            <w:tcW w:type="dxa" w:w="960"/>
          </w:tcPr>
          <w:p>
            <w:r>
              <w:t>C 观察信号</w:t>
            </w:r>
          </w:p>
        </w:tc>
        <w:tc>
          <w:tcPr>
            <w:tcW w:type="dxa" w:w="960"/>
          </w:tcPr>
          <w:p>
            <w:r>
              <w:t>突破上轨但量能不足-弱；连续2日站上上轨</w:t>
            </w:r>
          </w:p>
        </w:tc>
        <w:tc>
          <w:tcPr>
            <w:tcW w:type="dxa" w:w="960"/>
          </w:tcPr>
          <w:p>
            <w:r>
              <w:t>突破上轨</w:t>
            </w:r>
          </w:p>
        </w:tc>
        <w:tc>
          <w:tcPr>
            <w:tcW w:type="dxa" w:w="960"/>
          </w:tcPr>
          <w:p>
            <w:r>
              <w:t>47.38%</w:t>
            </w:r>
          </w:p>
        </w:tc>
        <w:tc>
          <w:tcPr>
            <w:tcW w:type="dxa" w:w="960"/>
          </w:tcPr>
          <w:p>
            <w:r>
              <w:t>1.015</w:t>
            </w:r>
          </w:p>
        </w:tc>
        <w:tc>
          <w:tcPr>
            <w:tcW w:type="dxa" w:w="960"/>
          </w:tcPr>
          <w:p>
            <w:r>
              <w:t>1.29</w:t>
            </w:r>
          </w:p>
        </w:tc>
        <w:tc>
          <w:tcPr>
            <w:tcW w:type="dxa" w:w="960"/>
          </w:tcPr>
          <w:p>
            <w:r>
              <w:t>股价突破布林线上轨，但成交量确认不足，可能是假突破，需要下一交易日确认。</w:t>
            </w:r>
          </w:p>
        </w:tc>
      </w:tr>
      <w:tr>
        <w:tc>
          <w:tcPr>
            <w:tcW w:type="dxa" w:w="960"/>
          </w:tcPr>
          <w:p>
            <w:r>
              <w:t>ASTS</w:t>
            </w:r>
          </w:p>
        </w:tc>
        <w:tc>
          <w:tcPr>
            <w:tcW w:type="dxa" w:w="960"/>
          </w:tcPr>
          <w:p>
            <w:r>
              <w:t>AST SpaceMobile</w:t>
            </w:r>
          </w:p>
        </w:tc>
        <w:tc>
          <w:tcPr>
            <w:tcW w:type="dxa" w:w="960"/>
          </w:tcPr>
          <w:p>
            <w:r>
              <w:t>C 观察信号</w:t>
            </w:r>
          </w:p>
        </w:tc>
        <w:tc>
          <w:tcPr>
            <w:tcW w:type="dxa" w:w="960"/>
          </w:tcPr>
          <w:p>
            <w:r>
              <w:t>弱收口：Bandwidth低于近8个月30%分位且最近8个交易日及以上连续下降；中轨附近窄幅震荡；低位形态</w:t>
            </w:r>
          </w:p>
        </w:tc>
        <w:tc>
          <w:tcPr>
            <w:tcW w:type="dxa" w:w="960"/>
          </w:tcPr>
          <w:p>
            <w:r>
              <w:t>中轨附近</w:t>
            </w:r>
          </w:p>
        </w:tc>
        <w:tc>
          <w:tcPr>
            <w:tcW w:type="dxa" w:w="960"/>
          </w:tcPr>
          <w:p>
            <w:r>
              <w:t>34.17%</w:t>
            </w:r>
          </w:p>
        </w:tc>
        <w:tc>
          <w:tcPr>
            <w:tcW w:type="dxa" w:w="960"/>
          </w:tcPr>
          <w:p>
            <w:r>
              <w:t>0.325</w:t>
            </w:r>
          </w:p>
        </w:tc>
        <w:tc>
          <w:tcPr>
            <w:tcW w:type="dxa" w:w="960"/>
          </w:tcPr>
          <w:p>
            <w:r>
              <w:t>1.02</w:t>
            </w:r>
          </w:p>
        </w:tc>
        <w:tc>
          <w:tcPr>
            <w:tcW w:type="dxa" w:w="960"/>
          </w:tcPr>
          <w:p>
            <w:r>
              <w:t>布林带收口，说明波动率下降，股价可能处于蓄势阶段，但方向尚未确认。</w:t>
            </w:r>
          </w:p>
        </w:tc>
      </w:tr>
      <w:tr>
        <w:tc>
          <w:tcPr>
            <w:tcW w:type="dxa" w:w="960"/>
          </w:tcPr>
          <w:p>
            <w:r>
              <w:t>QCOM</w:t>
            </w:r>
          </w:p>
        </w:tc>
        <w:tc>
          <w:tcPr>
            <w:tcW w:type="dxa" w:w="960"/>
          </w:tcPr>
          <w:p>
            <w:r>
              <w:t>QUALCOMM Incorporated</w:t>
            </w:r>
          </w:p>
        </w:tc>
        <w:tc>
          <w:tcPr>
            <w:tcW w:type="dxa" w:w="960"/>
          </w:tcPr>
          <w:p>
            <w:r>
              <w:t>C 观察信号</w:t>
            </w:r>
          </w:p>
        </w:tc>
        <w:tc>
          <w:tcPr>
            <w:tcW w:type="dxa" w:w="960"/>
          </w:tcPr>
          <w:p>
            <w:r>
              <w:t>弱收口：Bandwidth低于近8个月30%分位且最近8个交易日及以上连续下降；中轨附近窄幅震荡；低位形态</w:t>
            </w:r>
          </w:p>
        </w:tc>
        <w:tc>
          <w:tcPr>
            <w:tcW w:type="dxa" w:w="960"/>
          </w:tcPr>
          <w:p>
            <w:r>
              <w:t>中轨附近</w:t>
            </w:r>
          </w:p>
        </w:tc>
        <w:tc>
          <w:tcPr>
            <w:tcW w:type="dxa" w:w="960"/>
          </w:tcPr>
          <w:p>
            <w:r>
              <w:t>12.33%</w:t>
            </w:r>
          </w:p>
        </w:tc>
        <w:tc>
          <w:tcPr>
            <w:tcW w:type="dxa" w:w="960"/>
          </w:tcPr>
          <w:p>
            <w:r>
              <w:t>0.424</w:t>
            </w:r>
          </w:p>
        </w:tc>
        <w:tc>
          <w:tcPr>
            <w:tcW w:type="dxa" w:w="960"/>
          </w:tcPr>
          <w:p>
            <w:r>
              <w:t>0.94</w:t>
            </w:r>
          </w:p>
        </w:tc>
        <w:tc>
          <w:tcPr>
            <w:tcW w:type="dxa" w:w="960"/>
          </w:tcPr>
          <w:p>
            <w:r>
              <w:t>布林带收口，说明波动率下降，股价可能处于蓄势阶段，但方向尚未确认。</w:t>
            </w:r>
          </w:p>
        </w:tc>
      </w:tr>
      <w:tr>
        <w:tc>
          <w:tcPr>
            <w:tcW w:type="dxa" w:w="960"/>
          </w:tcPr>
          <w:p>
            <w:r>
              <w:t>MU</w:t>
            </w:r>
          </w:p>
        </w:tc>
        <w:tc>
          <w:tcPr>
            <w:tcW w:type="dxa" w:w="960"/>
          </w:tcPr>
          <w:p>
            <w:r>
              <w:t>Micron Technology, Inc.</w:t>
            </w:r>
          </w:p>
        </w:tc>
        <w:tc>
          <w:tcPr>
            <w:tcW w:type="dxa" w:w="960"/>
          </w:tcPr>
          <w:p>
            <w:r>
              <w:t>C 观察信号</w:t>
            </w:r>
          </w:p>
        </w:tc>
        <w:tc>
          <w:tcPr>
            <w:tcW w:type="dxa" w:w="960"/>
          </w:tcPr>
          <w:p>
            <w:r>
              <w:t>弱收口：Bandwidth连续13天维持低于近8个月30%分位；中轨附近窄幅震荡</w:t>
            </w:r>
          </w:p>
        </w:tc>
        <w:tc>
          <w:tcPr>
            <w:tcW w:type="dxa" w:w="960"/>
          </w:tcPr>
          <w:p>
            <w:r>
              <w:t>中轨附近</w:t>
            </w:r>
          </w:p>
        </w:tc>
        <w:tc>
          <w:tcPr>
            <w:tcW w:type="dxa" w:w="960"/>
          </w:tcPr>
          <w:p>
            <w:r>
              <w:t>28.28%</w:t>
            </w:r>
          </w:p>
        </w:tc>
        <w:tc>
          <w:tcPr>
            <w:tcW w:type="dxa" w:w="960"/>
          </w:tcPr>
          <w:p>
            <w:r>
              <w:t>0.554</w:t>
            </w:r>
          </w:p>
        </w:tc>
        <w:tc>
          <w:tcPr>
            <w:tcW w:type="dxa" w:w="960"/>
          </w:tcPr>
          <w:p>
            <w:r>
              <w:t>0.78</w:t>
            </w:r>
          </w:p>
        </w:tc>
        <w:tc>
          <w:tcPr>
            <w:tcW w:type="dxa" w:w="960"/>
          </w:tcPr>
          <w:p>
            <w:r>
              <w:t>布林带收口，说明波动率下降，股价可能处于蓄势阶段，但方向尚未确认。</w:t>
            </w:r>
          </w:p>
        </w:tc>
      </w:tr>
    </w:tbl>
    <w:p>
      <w:pPr>
        <w:pStyle w:val="Heading2"/>
      </w:pPr>
      <w:r>
        <w:t>二、重点结论</w:t>
      </w:r>
    </w:p>
    <w:p>
      <w:pPr>
        <w:pStyle w:val="ListBullet"/>
      </w:pPr>
      <w:r>
        <w:t>强信号：COIN。</w:t>
      </w:r>
    </w:p>
    <w:p>
      <w:pPr>
        <w:pStyle w:val="ListBullet"/>
      </w:pPr>
      <w:r>
        <w:t>中等信号：无。</w:t>
      </w:r>
    </w:p>
    <w:p>
      <w:pPr>
        <w:pStyle w:val="ListBullet"/>
      </w:pPr>
      <w:r>
        <w:t>观察信号：CRCL, ASTS, QCOM, MU。</w:t>
      </w:r>
    </w:p>
    <w:p>
      <w:pPr>
        <w:pStyle w:val="ListBullet"/>
      </w:pPr>
      <w:r>
        <w:t>今日优先复核：COIN, CRCL, ASTS, QCOM, MU。优先看是否放量、能否站稳上轨或中轨。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COIN - Coinbase Global, Inc.</w:t>
      </w:r>
    </w:p>
    <w:p>
      <w:pPr>
        <w:pStyle w:val="ListBullet"/>
      </w:pPr>
      <w:r>
        <w:t>信号等级：A 强信号</w:t>
      </w:r>
    </w:p>
    <w:p>
      <w:pPr>
        <w:pStyle w:val="ListBullet"/>
      </w:pPr>
      <w:r>
        <w:t>最新收盘价：$179.48</w:t>
      </w:r>
    </w:p>
    <w:p>
      <w:pPr>
        <w:pStyle w:val="ListBullet"/>
      </w:pPr>
      <w:r>
        <w:t>BOLL：上轨 $179.59；中轨 $156.40；下轨 $133.20</w:t>
      </w:r>
    </w:p>
    <w:p>
      <w:pPr>
        <w:pStyle w:val="ListBullet"/>
      </w:pPr>
      <w:r>
        <w:t>Bandwidth：29.66%；历史分位：65.48%；%B：0.998</w:t>
      </w:r>
    </w:p>
    <w:p>
      <w:pPr>
        <w:pStyle w:val="ListBullet"/>
      </w:pPr>
      <w:r>
        <w:t>成交量：当日 13096337；20日均量 9723077；量比 1.35</w:t>
      </w:r>
    </w:p>
    <w:p>
      <w:pPr>
        <w:pStyle w:val="ListBullet"/>
      </w:pPr>
      <w:r>
        <w:t>触发信号：布林带向上开口（最近3天）；成交量放大；中轨反弹并接近上轨；成交量放大；低位形态</w:t>
      </w:r>
    </w:p>
    <w:p>
      <w:pPr>
        <w:pStyle w:val="ListBullet"/>
      </w:pPr>
      <w:r>
        <w:t>技术面解读：布林带向上开口，说明波动率开始放大，股价接近上轨，可能进入趋势启动观察阶段，需要继续结合突破方向和成交量判断。</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CRCL - Circle Internet Group</w:t>
      </w:r>
    </w:p>
    <w:p>
      <w:pPr>
        <w:pStyle w:val="ListBullet"/>
      </w:pPr>
      <w:r>
        <w:t>信号等级：C 观察信号</w:t>
      </w:r>
    </w:p>
    <w:p>
      <w:pPr>
        <w:pStyle w:val="ListBullet"/>
      </w:pPr>
      <w:r>
        <w:t>最新收盘价：$87.72</w:t>
      </w:r>
    </w:p>
    <w:p>
      <w:pPr>
        <w:pStyle w:val="ListBullet"/>
      </w:pPr>
      <w:r>
        <w:t>BOLL：上轨 $87.21；中轨 $70.50；下轨 $53.80</w:t>
      </w:r>
    </w:p>
    <w:p>
      <w:pPr>
        <w:pStyle w:val="ListBullet"/>
      </w:pPr>
      <w:r>
        <w:t>Bandwidth：47.38%；历史分位：67.86%；%B：1.015</w:t>
      </w:r>
    </w:p>
    <w:p>
      <w:pPr>
        <w:pStyle w:val="ListBullet"/>
      </w:pPr>
      <w:r>
        <w:t>成交量：当日 17319744；20日均量 13428972；量比 1.29</w:t>
      </w:r>
    </w:p>
    <w:p>
      <w:pPr>
        <w:pStyle w:val="ListBullet"/>
      </w:pPr>
      <w:r>
        <w:t>触发信号：突破上轨但量能不足-弱；连续2日站上上轨</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w:t>
      </w:r>
    </w:p>
    <w:p>
      <w:pPr>
        <w:pStyle w:val="Heading3"/>
      </w:pPr>
      <w:r>
        <w:t>ASTS - AST SpaceMobile</w:t>
      </w:r>
    </w:p>
    <w:p>
      <w:pPr>
        <w:pStyle w:val="ListBullet"/>
      </w:pPr>
      <w:r>
        <w:t>信号等级：C 观察信号</w:t>
      </w:r>
    </w:p>
    <w:p>
      <w:pPr>
        <w:pStyle w:val="ListBullet"/>
      </w:pPr>
      <w:r>
        <w:t>最新收盘价：$62.35</w:t>
      </w:r>
    </w:p>
    <w:p>
      <w:pPr>
        <w:pStyle w:val="ListBullet"/>
      </w:pPr>
      <w:r>
        <w:t>BOLL：上轨 $77.65；中轨 $66.32；下轨 $54.99</w:t>
      </w:r>
    </w:p>
    <w:p>
      <w:pPr>
        <w:pStyle w:val="ListBullet"/>
      </w:pPr>
      <w:r>
        <w:t>Bandwidth：34.17%；历史分位：26.19%；%B：0.325</w:t>
      </w:r>
    </w:p>
    <w:p>
      <w:pPr>
        <w:pStyle w:val="ListBullet"/>
      </w:pPr>
      <w:r>
        <w:t>成交量：当日 12029044；20日均量 11816207；量比 1.02</w:t>
      </w:r>
    </w:p>
    <w:p>
      <w:pPr>
        <w:pStyle w:val="ListBullet"/>
      </w:pPr>
      <w:r>
        <w:t>触发信号：弱收口：Bandwidth低于近8个月30%分位且最近8个交易日及以上连续下降；中轨附近窄幅震荡；低位形态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QCOM - QUALCOMM Incorporated</w:t>
      </w:r>
    </w:p>
    <w:p>
      <w:pPr>
        <w:pStyle w:val="ListBullet"/>
      </w:pPr>
      <w:r>
        <w:t>信号等级：C 观察信号</w:t>
      </w:r>
    </w:p>
    <w:p>
      <w:pPr>
        <w:pStyle w:val="ListBullet"/>
      </w:pPr>
      <w:r>
        <w:t>最新收盘价：$158.53</w:t>
      </w:r>
    </w:p>
    <w:p>
      <w:pPr>
        <w:pStyle w:val="ListBullet"/>
      </w:pPr>
      <w:r>
        <w:t>BOLL：上轨 $169.90；中轨 $160.03；下轨 $150.16</w:t>
      </w:r>
    </w:p>
    <w:p>
      <w:pPr>
        <w:pStyle w:val="ListBullet"/>
      </w:pPr>
      <w:r>
        <w:t>Bandwidth：12.33%；历史分位：27.98%；%B：0.424</w:t>
      </w:r>
    </w:p>
    <w:p>
      <w:pPr>
        <w:pStyle w:val="ListBullet"/>
      </w:pPr>
      <w:r>
        <w:t>成交量：当日 10497754；20日均量 11138733；量比 0.94</w:t>
      </w:r>
    </w:p>
    <w:p>
      <w:pPr>
        <w:pStyle w:val="ListBullet"/>
      </w:pPr>
      <w:r>
        <w:t>触发信号：弱收口：Bandwidth低于近8个月30%分位且最近8个交易日及以上连续下降；中轨附近窄幅震荡；低位形态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MU - Micron Technology, Inc.</w:t>
      </w:r>
    </w:p>
    <w:p>
      <w:pPr>
        <w:pStyle w:val="ListBullet"/>
      </w:pPr>
      <w:r>
        <w:t>信号等级：C 观察信号</w:t>
      </w:r>
    </w:p>
    <w:p>
      <w:pPr>
        <w:pStyle w:val="ListBullet"/>
      </w:pPr>
      <w:r>
        <w:t>最新收盘价：$910.43</w:t>
      </w:r>
    </w:p>
    <w:p>
      <w:pPr>
        <w:pStyle w:val="ListBullet"/>
      </w:pPr>
      <w:r>
        <w:t>BOLL：上轨 $1023.55；中轨 $896.75；下轨 $769.96</w:t>
      </w:r>
    </w:p>
    <w:p>
      <w:pPr>
        <w:pStyle w:val="ListBullet"/>
      </w:pPr>
      <w:r>
        <w:t>Bandwidth：28.28%；历史分位：25.60%；%B：0.554</w:t>
      </w:r>
    </w:p>
    <w:p>
      <w:pPr>
        <w:pStyle w:val="ListBullet"/>
      </w:pPr>
      <w:r>
        <w:t>成交量：当日 29794356；20日均量 38334598；量比 0.78</w:t>
      </w:r>
    </w:p>
    <w:p>
      <w:pPr>
        <w:pStyle w:val="ListBullet"/>
      </w:pPr>
      <w:r>
        <w:t>触发信号：弱收口：Bandwidth连续13天维持低于近8个月30%分位；中轨附近窄幅震荡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tbl>
      <w:tblPr>
        <w:tblStyle w:val="TableGrid"/>
        <w:tblW w:type="auto" w:w="0"/>
        <w:tblLook w:firstColumn="1" w:firstRow="1" w:lastColumn="0" w:lastRow="0" w:noHBand="0" w:noVBand="1" w:val="04A0"/>
      </w:tblPr>
      <w:tblGrid>
        <w:gridCol w:w="2880"/>
        <w:gridCol w:w="2880"/>
        <w:gridCol w:w="2880"/>
      </w:tblGrid>
      <w:tr>
        <w:tc>
          <w:tcPr>
            <w:tcW w:type="dxa" w:w="2880"/>
          </w:tcPr>
          <w:p>
            <w:r>
              <w:t>股票代码</w:t>
            </w:r>
          </w:p>
        </w:tc>
        <w:tc>
          <w:tcPr>
            <w:tcW w:type="dxa" w:w="2880"/>
          </w:tcPr>
          <w:p>
            <w:r>
              <w:t>公司名称</w:t>
            </w:r>
          </w:p>
        </w:tc>
        <w:tc>
          <w:tcPr>
            <w:tcW w:type="dxa" w:w="2880"/>
          </w:tcPr>
          <w:p>
            <w:r>
              <w:t>原因</w:t>
            </w:r>
          </w:p>
        </w:tc>
      </w:tr>
      <w:tr>
        <w:tc>
          <w:tcPr>
            <w:tcW w:type="dxa" w:w="2880"/>
          </w:tcPr>
          <w:p>
            <w:r>
              <w:t>SPCX</w:t>
            </w:r>
          </w:p>
        </w:tc>
        <w:tc>
          <w:tcPr>
            <w:tcW w:type="dxa" w:w="2880"/>
          </w:tcPr>
          <w:p>
            <w:r>
              <w:t>Space Exploration Technologies</w:t>
            </w:r>
          </w:p>
        </w:tc>
        <w:tc>
          <w:tcPr>
            <w:tcW w:type="dxa" w:w="2880"/>
          </w:tcPr>
          <w:p>
            <w:r>
              <w:t>数据长度不足，无法稳定计算 BOLL</w:t>
            </w:r>
          </w:p>
        </w:tc>
      </w:tr>
    </w:tbl>
    <w:p>
      <w:pPr>
        <w:pStyle w:val="Heading2"/>
      </w:pPr>
      <w:r>
        <w:t>五、无明显 BOLL 信号</w:t>
      </w:r>
    </w:p>
    <w:p>
      <w:r>
        <w:t>NOK（Nokia Oyj）, XE（X-energy）, RKLB（Rocket Lab USA）, NBIS（Nebius Group）, ARM（Arm Holdings）, OPTX（Syntec Optics Holdings）, GLW（Corning）, COHR（Coherent）, LITE（Lumentum Holdings）, MRVL（Marvell Technology）, INTC（Intel）, ALAB（Astera Labs）, FLNC（Fluence Energy）, CRWV（CoreWeave）, ORCL（Oracle）, NVTS（Navitas Semiconductor）, POET（POET Technologies）, DELL（Dell Technologies）, BB（BlackBerry）, ONDS（Ondas Holdings）, SMR（NuScale Power）, OKLO（Oklo）, IONQ（IonQ）, QBTS（D-Wave Quantum）, NVDA（NVIDIA）, AMZN（Amazon.com）, AMD（Advanced Micro Devices）, FLY（Firefly Aerospace）, CBRS（Chain Bridge Bancorp）, CIEN（Ciena）, SIVEF（Sivers Semiconductors）, SHAZ（Shaz）, LUNR（Intuitive Machines）, AAOI（Applied Optoelectronics）, INOD（Innodata）, RDW（Redwire Corporation）, CORZ（Core Scientific, Inc.）, IREN（IREN LIMITED）, VELO（Velo3D, Inc.）, MSFT（Microsoft Corporation）, GOOG（Alphabet Inc.）, AVGO（Broadcom Inc.）, AMAT（Applied Materials, Inc.）, AMKR（Amkor Technology, Inc.）, LRCX（Lam Research Corporation）, SNDK（Sandisk Corporation）, VICR（Vicor Corporation）, NNE（Nano Nuclear Energy Inc.）, CCJ（Cameco Corporation）, VST（Vistra Corp.）, NEE（NextEra Energy, Inc.）, BWAY（Brainsway Ltd.）, MANE（Veradermics, Incorporated）, QSI（Quantum-Si Incorporated）, ERAS（Erasca, Inc.）, CRSP（CRISPR Therapeutics AG）, IBRX（ImmunityBio, Inc.）, INSP（Inspire Medical Systems, Inc.）</w:t>
      </w:r>
    </w:p>
    <w:p>
      <w:r>
        <w:br w:type="page"/>
      </w:r>
    </w:p>
    <w:p>
      <w:pPr>
        <w:pStyle w:val="Heading2"/>
      </w:pPr>
      <w:r>
        <w:t>六、触发股票 BOLL 图表</w:t>
      </w:r>
    </w:p>
    <w:p>
      <w:pPr>
        <w:pStyle w:val="Heading3"/>
      </w:pPr>
      <w:r>
        <w:t>COIN - Coinbase Global, Inc.</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COIN_BOLL.png"/>
                    <pic:cNvPicPr/>
                  </pic:nvPicPr>
                  <pic:blipFill>
                    <a:blip r:embed="rId9"/>
                    <a:stretch>
                      <a:fillRect/>
                    </a:stretch>
                  </pic:blipFill>
                  <pic:spPr>
                    <a:xfrm>
                      <a:off x="0" y="0"/>
                      <a:ext cx="6035040" cy="4054793"/>
                    </a:xfrm>
                    <a:prstGeom prst="rect"/>
                  </pic:spPr>
                </pic:pic>
              </a:graphicData>
            </a:graphic>
          </wp:inline>
        </w:drawing>
      </w:r>
    </w:p>
    <w:p>
      <w:pPr>
        <w:pStyle w:val="Heading3"/>
      </w:pPr>
      <w:r>
        <w:t>CRCL - Circle Internet Group</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CRCL_BOLL.png"/>
                    <pic:cNvPicPr/>
                  </pic:nvPicPr>
                  <pic:blipFill>
                    <a:blip r:embed="rId10"/>
                    <a:stretch>
                      <a:fillRect/>
                    </a:stretch>
                  </pic:blipFill>
                  <pic:spPr>
                    <a:xfrm>
                      <a:off x="0" y="0"/>
                      <a:ext cx="6035040" cy="4054793"/>
                    </a:xfrm>
                    <a:prstGeom prst="rect"/>
                  </pic:spPr>
                </pic:pic>
              </a:graphicData>
            </a:graphic>
          </wp:inline>
        </w:drawing>
      </w:r>
    </w:p>
    <w:p>
      <w:pPr>
        <w:pStyle w:val="Heading3"/>
      </w:pPr>
      <w:r>
        <w:t>ASTS - AST SpaceMobile</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ASTS_BOLL.png"/>
                    <pic:cNvPicPr/>
                  </pic:nvPicPr>
                  <pic:blipFill>
                    <a:blip r:embed="rId11"/>
                    <a:stretch>
                      <a:fillRect/>
                    </a:stretch>
                  </pic:blipFill>
                  <pic:spPr>
                    <a:xfrm>
                      <a:off x="0" y="0"/>
                      <a:ext cx="6035040" cy="4054793"/>
                    </a:xfrm>
                    <a:prstGeom prst="rect"/>
                  </pic:spPr>
                </pic:pic>
              </a:graphicData>
            </a:graphic>
          </wp:inline>
        </w:drawing>
      </w:r>
    </w:p>
    <w:p>
      <w:pPr>
        <w:pStyle w:val="Heading3"/>
      </w:pPr>
      <w:r>
        <w:t>QCOM - QUALCOMM Incorporated</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QCOM_BOLL.png"/>
                    <pic:cNvPicPr/>
                  </pic:nvPicPr>
                  <pic:blipFill>
                    <a:blip r:embed="rId12"/>
                    <a:stretch>
                      <a:fillRect/>
                    </a:stretch>
                  </pic:blipFill>
                  <pic:spPr>
                    <a:xfrm>
                      <a:off x="0" y="0"/>
                      <a:ext cx="6035040" cy="4054793"/>
                    </a:xfrm>
                    <a:prstGeom prst="rect"/>
                  </pic:spPr>
                </pic:pic>
              </a:graphicData>
            </a:graphic>
          </wp:inline>
        </w:drawing>
      </w:r>
    </w:p>
    <w:p>
      <w:pPr>
        <w:pStyle w:val="Heading3"/>
      </w:pPr>
      <w:r>
        <w:t>MU - Micron Technology, Inc.</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MU_BOLL.png"/>
                    <pic:cNvPicPr/>
                  </pic:nvPicPr>
                  <pic:blipFill>
                    <a:blip r:embed="rId13"/>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