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报告日期：2026-08-25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高位反弹衰竭风险</w:t>
            </w:r>
          </w:p>
        </w:tc>
        <w:tc>
          <w:tcPr>
            <w:tcW w:type="dxa" w:w="1234"/>
          </w:tcPr>
          <w:p>
            <w:r>
              <w:t>92.02</w:t>
            </w:r>
          </w:p>
        </w:tc>
        <w:tc>
          <w:tcPr>
            <w:tcW w:type="dxa" w:w="1234"/>
          </w:tcPr>
          <w:p>
            <w:r>
              <w:t>偏离MA20超过15%；RSI6大于85；RSI12大于75；KDJ处于高位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16.60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7.84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62.01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88.04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22.26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113.15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8.24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当前价格：92.02</w:t>
      </w:r>
    </w:p>
    <w:p>
      <w:r>
        <w:t>短线状态：短线反弹确认；反弹确认分：7</w:t>
      </w:r>
    </w:p>
    <w:p>
      <w:r>
        <w:t>短线风险分：10；风险等级：高位反弹衰竭风险</w:t>
      </w:r>
    </w:p>
    <w:p>
      <w:r>
        <w:t>指标摘要：RSI6/RSI12=85.4/75.1；K/D/J=86.0/83.8/90.4；偏离MA20=28.00%；近5日涨幅=28.29%；量能=1.29倍。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偏离MA20超过15%</w:t>
      </w:r>
    </w:p>
    <w:p>
      <w:pPr>
        <w:pStyle w:val="ListBullet"/>
      </w:pPr>
      <w:r>
        <w:t>RSI6大于85</w:t>
      </w:r>
    </w:p>
    <w:p>
      <w:pPr>
        <w:pStyle w:val="ListBullet"/>
      </w:pPr>
      <w:r>
        <w:t>RSI12大于75</w:t>
      </w:r>
    </w:p>
    <w:p>
      <w:pPr>
        <w:pStyle w:val="ListBullet"/>
      </w:pPr>
      <w:r>
        <w:t>KDJ处于高位</w:t>
      </w:r>
    </w:p>
    <w:p>
      <w:pPr>
        <w:pStyle w:val="ListBullet"/>
      </w:pPr>
      <w:r>
        <w:t>近5日涨幅超过25%</w:t>
      </w:r>
    </w:p>
    <w:p>
      <w:pPr>
        <w:pStyle w:val="ListBullet"/>
      </w:pPr>
      <w:r>
        <w:t>放量冲高后缩量</w:t>
      </w:r>
    </w:p>
    <w:p>
      <w:r>
        <w:t>建议观察位置：当前价格 92.02；MA5 85.99；MA10 79.45；MA20 71.89。若跌破MA5，短线反弹降温；若跌破MA20，反弹结构可能明显转弱。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当前价格：16.60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指标摘要：RSI6/RSI12=40.4/48.3；K/D/J=50.7/63.4/25.4；偏离MA20=3.15%；近5日涨幅=-14.03%；量能=0.57倍。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16.60；MA5 17.61；MA10 18.12；MA20 16.09。若跌破MA5，短线反弹降温；若跌破MA20，反弹结构可能明显转弱。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当前价格：7.84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指标摘要：RSI6/RSI12=36.5/45.0；K/D/J=37.1/55.6/0.2；偏离MA20=-1.03%；近5日涨幅=-5.77%；量能=0.48倍。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7.84；MA5 8.37；MA10 8.54；MA20 7.92。若跌破MA5，短线反弹降温；若跌破MA20，反弹结构可能明显转弱。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当前价格：62.01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指标摘要：RSI6/RSI12=33.4/41.9；K/D/J=19.6/32.7/-6.6；偏离MA20=-6.88%；近5日涨幅=-7.54%；量能=0.76倍。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62.01；MA5 64.90；MA10 67.95；MA20 66.59。若跌破MA5，短线反弹降温；若跌破MA20，反弹结构可能明显转弱。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当前价格：88.04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指标摘要：RSI6/RSI12=40.8/47.9；K/D/J=16.1/27.4/-6.5；偏离MA20=-1.62%；近5日涨幅=-5.51%；量能=0.43倍。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88.04；MA5 88.55；MA10 96.12；MA20 89.49。若跌破MA5，短线反弹降温；若跌破MA20，反弹结构可能明显转弱。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当前价格：22.26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指标摘要：RSI6/RSI12=28.7/40.6；K/D/J=18.9/37.2/-17.8；偏离MA20=-7.53%；近5日涨幅=-14.84%；量能=0.90倍。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22.26；MA5 23.75；MA10 25.20；MA20 24.07。若跌破MA5，短线反弹降温；若跌破MA20，反弹结构可能明显转弱。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当前价格：113.15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指标摘要：RSI6/RSI12=38.6/44.7；K/D/J=21.6/32.9/-1.1；偏离MA20=-8.01%；近5日涨幅=-13.90%；量能=0.50倍。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113.15；MA5 119.38；MA10 130.16；MA20 123.00。若跌破MA5，短线反弹降温；若跌破MA20，反弹结构可能明显转弱。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当前价格：8.24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指标摘要：RSI6/RSI12=35.8/45.3；K/D/J=16.5/29.6/-9.8；偏离MA20=-4.92%；近5日涨幅=-9.05%；量能=0.57倍。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8.24；MA5 8.49；MA10 8.84；MA20 8.67。若跌破MA5，短线反弹降温；若跌破MA20，反弹结构可能明显转弱。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