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- 2026-08-31</w:t>
      </w:r>
    </w:p>
    <w:p>
      <w:pPr>
        <w:pStyle w:val="ListBullet"/>
      </w:pPr>
      <w:r>
        <w:t>生成时间（美东）：2026-08-31 21:51:45 EDT</w:t>
      </w:r>
    </w:p>
    <w:p>
      <w:pPr>
        <w:pStyle w:val="ListBullet"/>
      </w:pPr>
      <w:r>
        <w:t>最新可用交易日：2026-08-31</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QCOM</w:t>
            </w:r>
          </w:p>
        </w:tc>
        <w:tc>
          <w:tcPr>
            <w:tcW w:type="dxa" w:w="960"/>
          </w:tcPr>
          <w:p>
            <w:r>
              <w:t>QUALCOMM Incorporated</w:t>
            </w:r>
          </w:p>
        </w:tc>
        <w:tc>
          <w:tcPr>
            <w:tcW w:type="dxa" w:w="960"/>
          </w:tcPr>
          <w:p>
            <w:r>
              <w:t>A 强信号</w:t>
            </w:r>
          </w:p>
        </w:tc>
        <w:tc>
          <w:tcPr>
            <w:tcW w:type="dxa" w:w="960"/>
          </w:tcPr>
          <w:p>
            <w:r>
              <w:t>放量突破上轨-中；中轨反弹并接近上轨；成交量放大</w:t>
            </w:r>
          </w:p>
        </w:tc>
        <w:tc>
          <w:tcPr>
            <w:tcW w:type="dxa" w:w="960"/>
          </w:tcPr>
          <w:p>
            <w:r>
              <w:t>突破上轨</w:t>
            </w:r>
          </w:p>
        </w:tc>
        <w:tc>
          <w:tcPr>
            <w:tcW w:type="dxa" w:w="960"/>
          </w:tcPr>
          <w:p>
            <w:r>
              <w:t>7.33%</w:t>
            </w:r>
          </w:p>
        </w:tc>
        <w:tc>
          <w:tcPr>
            <w:tcW w:type="dxa" w:w="960"/>
          </w:tcPr>
          <w:p>
            <w:r>
              <w:t>1.148</w:t>
            </w:r>
          </w:p>
        </w:tc>
        <w:tc>
          <w:tcPr>
            <w:tcW w:type="dxa" w:w="960"/>
          </w:tcPr>
          <w:p>
            <w:r>
              <w:t>1.32</w:t>
            </w:r>
          </w:p>
        </w:tc>
        <w:tc>
          <w:tcPr>
            <w:tcW w:type="dxa" w:w="960"/>
          </w:tcPr>
          <w:p>
            <w:r>
              <w:t>股价放量突破布林线上轨，说明短线多头动能较强，可能进入强势上涨阶段，但也要注意短线过热和回</w:t>
            </w:r>
          </w:p>
        </w:tc>
      </w:tr>
      <w:tr>
        <w:tc>
          <w:tcPr>
            <w:tcW w:type="dxa" w:w="960"/>
          </w:tcPr>
          <w:p>
            <w:r>
              <w:t>DELL</w:t>
            </w:r>
          </w:p>
        </w:tc>
        <w:tc>
          <w:tcPr>
            <w:tcW w:type="dxa" w:w="960"/>
          </w:tcPr>
          <w:p>
            <w:r>
              <w:t>Dell Technologies</w:t>
            </w:r>
          </w:p>
        </w:tc>
        <w:tc>
          <w:tcPr>
            <w:tcW w:type="dxa" w:w="960"/>
          </w:tcPr>
          <w:p>
            <w:r>
              <w:t>C 观察信号</w:t>
            </w:r>
          </w:p>
        </w:tc>
        <w:tc>
          <w:tcPr>
            <w:tcW w:type="dxa" w:w="960"/>
          </w:tcPr>
          <w:p>
            <w:r>
              <w:t>弱收口：Bandwidth低于近8个月30%分位且最近8个交易日及以上连续下降；中轨附近窄幅震荡</w:t>
            </w:r>
          </w:p>
        </w:tc>
        <w:tc>
          <w:tcPr>
            <w:tcW w:type="dxa" w:w="960"/>
          </w:tcPr>
          <w:p>
            <w:r>
              <w:t>中轨附近</w:t>
            </w:r>
          </w:p>
        </w:tc>
        <w:tc>
          <w:tcPr>
            <w:tcW w:type="dxa" w:w="960"/>
          </w:tcPr>
          <w:p>
            <w:r>
              <w:t>15.83%</w:t>
            </w:r>
          </w:p>
        </w:tc>
        <w:tc>
          <w:tcPr>
            <w:tcW w:type="dxa" w:w="960"/>
          </w:tcPr>
          <w:p>
            <w:r>
              <w:t>0.455</w:t>
            </w:r>
          </w:p>
        </w:tc>
        <w:tc>
          <w:tcPr>
            <w:tcW w:type="dxa" w:w="960"/>
          </w:tcPr>
          <w:p>
            <w:r>
              <w:t>1.41</w:t>
            </w:r>
          </w:p>
        </w:tc>
        <w:tc>
          <w:tcPr>
            <w:tcW w:type="dxa" w:w="960"/>
          </w:tcPr>
          <w:p>
            <w:r>
              <w:t>布林带收口，说明波动率下降，股价可能处于蓄势阶段，但方向尚未确认。</w:t>
            </w:r>
          </w:p>
        </w:tc>
      </w:tr>
      <w:tr>
        <w:tc>
          <w:tcPr>
            <w:tcW w:type="dxa" w:w="960"/>
          </w:tcPr>
          <w:p>
            <w:r>
              <w:t>NVDA</w:t>
            </w:r>
          </w:p>
        </w:tc>
        <w:tc>
          <w:tcPr>
            <w:tcW w:type="dxa" w:w="960"/>
          </w:tcPr>
          <w:p>
            <w:r>
              <w:t>NVIDIA</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9.69%</w:t>
            </w:r>
          </w:p>
        </w:tc>
        <w:tc>
          <w:tcPr>
            <w:tcW w:type="dxa" w:w="960"/>
          </w:tcPr>
          <w:p>
            <w:r>
              <w:t>0.596</w:t>
            </w:r>
          </w:p>
        </w:tc>
        <w:tc>
          <w:tcPr>
            <w:tcW w:type="dxa" w:w="960"/>
          </w:tcPr>
          <w:p>
            <w:r>
              <w:t>0.97</w:t>
            </w:r>
          </w:p>
        </w:tc>
        <w:tc>
          <w:tcPr>
            <w:tcW w:type="dxa" w:w="960"/>
          </w:tcPr>
          <w:p>
            <w:r>
              <w:t>布林带收口，说明波动率下降，股价可能处于蓄势阶段，但方向尚未确认。</w:t>
            </w:r>
          </w:p>
        </w:tc>
      </w:tr>
      <w:tr>
        <w:tc>
          <w:tcPr>
            <w:tcW w:type="dxa" w:w="960"/>
          </w:tcPr>
          <w:p>
            <w:r>
              <w:t>NNE</w:t>
            </w:r>
          </w:p>
        </w:tc>
        <w:tc>
          <w:tcPr>
            <w:tcW w:type="dxa" w:w="960"/>
          </w:tcPr>
          <w:p>
            <w:r>
              <w:t>Nano Nuclear Energy Inc.</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14.96%</w:t>
            </w:r>
          </w:p>
        </w:tc>
        <w:tc>
          <w:tcPr>
            <w:tcW w:type="dxa" w:w="960"/>
          </w:tcPr>
          <w:p>
            <w:r>
              <w:t>0.332</w:t>
            </w:r>
          </w:p>
        </w:tc>
        <w:tc>
          <w:tcPr>
            <w:tcW w:type="dxa" w:w="960"/>
          </w:tcPr>
          <w:p>
            <w:r>
              <w:t>0.67</w:t>
            </w:r>
          </w:p>
        </w:tc>
        <w:tc>
          <w:tcPr>
            <w:tcW w:type="dxa" w:w="960"/>
          </w:tcPr>
          <w:p>
            <w:r>
              <w:t>布林带收口，说明波动率下降，股价可能处于蓄势阶段，但方向尚未确认。</w:t>
            </w:r>
          </w:p>
        </w:tc>
      </w:tr>
      <w:tr>
        <w:tc>
          <w:tcPr>
            <w:tcW w:type="dxa" w:w="960"/>
          </w:tcPr>
          <w:p>
            <w:r>
              <w:t>ORCL</w:t>
            </w:r>
          </w:p>
        </w:tc>
        <w:tc>
          <w:tcPr>
            <w:tcW w:type="dxa" w:w="960"/>
          </w:tcPr>
          <w:p>
            <w:r>
              <w:t>Oracle</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10.51%</w:t>
            </w:r>
          </w:p>
        </w:tc>
        <w:tc>
          <w:tcPr>
            <w:tcW w:type="dxa" w:w="960"/>
          </w:tcPr>
          <w:p>
            <w:r>
              <w:t>0.615</w:t>
            </w:r>
          </w:p>
        </w:tc>
        <w:tc>
          <w:tcPr>
            <w:tcW w:type="dxa" w:w="960"/>
          </w:tcPr>
          <w:p>
            <w:r>
              <w:t>0.67</w:t>
            </w:r>
          </w:p>
        </w:tc>
        <w:tc>
          <w:tcPr>
            <w:tcW w:type="dxa" w:w="960"/>
          </w:tcPr>
          <w:p>
            <w:r>
              <w:t>布林带收口，说明波动率下降，股价可能处于蓄势阶段，但方向尚未确认。</w:t>
            </w:r>
          </w:p>
        </w:tc>
      </w:tr>
      <w:tr>
        <w:tc>
          <w:tcPr>
            <w:tcW w:type="dxa" w:w="960"/>
          </w:tcPr>
          <w:p>
            <w:r>
              <w:t>OPTX</w:t>
            </w:r>
          </w:p>
        </w:tc>
        <w:tc>
          <w:tcPr>
            <w:tcW w:type="dxa" w:w="960"/>
          </w:tcPr>
          <w:p>
            <w:r>
              <w:t>Syntec Optics Holdings</w:t>
            </w:r>
          </w:p>
        </w:tc>
        <w:tc>
          <w:tcPr>
            <w:tcW w:type="dxa" w:w="960"/>
          </w:tcPr>
          <w:p>
            <w:r>
              <w:t>C 观察信号</w:t>
            </w:r>
          </w:p>
        </w:tc>
        <w:tc>
          <w:tcPr>
            <w:tcW w:type="dxa" w:w="960"/>
          </w:tcPr>
          <w:p>
            <w:r>
              <w:t>强收口：Bandwidth创近100日新低；中轨附近窄幅震荡</w:t>
            </w:r>
          </w:p>
        </w:tc>
        <w:tc>
          <w:tcPr>
            <w:tcW w:type="dxa" w:w="960"/>
          </w:tcPr>
          <w:p>
            <w:r>
              <w:t>中轨附近</w:t>
            </w:r>
          </w:p>
        </w:tc>
        <w:tc>
          <w:tcPr>
            <w:tcW w:type="dxa" w:w="960"/>
          </w:tcPr>
          <w:p>
            <w:r>
              <w:t>22.46%</w:t>
            </w:r>
          </w:p>
        </w:tc>
        <w:tc>
          <w:tcPr>
            <w:tcW w:type="dxa" w:w="960"/>
          </w:tcPr>
          <w:p>
            <w:r>
              <w:t>0.425</w:t>
            </w:r>
          </w:p>
        </w:tc>
        <w:tc>
          <w:tcPr>
            <w:tcW w:type="dxa" w:w="960"/>
          </w:tcPr>
          <w:p>
            <w:r>
              <w:t>0.63</w:t>
            </w:r>
          </w:p>
        </w:tc>
        <w:tc>
          <w:tcPr>
            <w:tcW w:type="dxa" w:w="960"/>
          </w:tcPr>
          <w:p>
            <w:r>
              <w:t>布林带收口，说明波动率下降，股价可能处于蓄势阶段，但方向尚未确认。</w:t>
            </w:r>
          </w:p>
        </w:tc>
      </w:tr>
      <w:tr>
        <w:tc>
          <w:tcPr>
            <w:tcW w:type="dxa" w:w="960"/>
          </w:tcPr>
          <w:p>
            <w:r>
              <w:t>QSI</w:t>
            </w:r>
          </w:p>
        </w:tc>
        <w:tc>
          <w:tcPr>
            <w:tcW w:type="dxa" w:w="960"/>
          </w:tcPr>
          <w:p>
            <w:r>
              <w:t>Quantum-Si Incorporated</w:t>
            </w:r>
          </w:p>
        </w:tc>
        <w:tc>
          <w:tcPr>
            <w:tcW w:type="dxa" w:w="960"/>
          </w:tcPr>
          <w:p>
            <w:r>
              <w:t>C 观察信号</w:t>
            </w:r>
          </w:p>
        </w:tc>
        <w:tc>
          <w:tcPr>
            <w:tcW w:type="dxa" w:w="960"/>
          </w:tcPr>
          <w:p>
            <w:r>
              <w:t>强收口：Bandwidth创近100日新低；中轨附近窄幅震荡；低位形态</w:t>
            </w:r>
          </w:p>
        </w:tc>
        <w:tc>
          <w:tcPr>
            <w:tcW w:type="dxa" w:w="960"/>
          </w:tcPr>
          <w:p>
            <w:r>
              <w:t>中轨附近</w:t>
            </w:r>
          </w:p>
        </w:tc>
        <w:tc>
          <w:tcPr>
            <w:tcW w:type="dxa" w:w="960"/>
          </w:tcPr>
          <w:p>
            <w:r>
              <w:t>16.70%</w:t>
            </w:r>
          </w:p>
        </w:tc>
        <w:tc>
          <w:tcPr>
            <w:tcW w:type="dxa" w:w="960"/>
          </w:tcPr>
          <w:p>
            <w:r>
              <w:t>0.361</w:t>
            </w:r>
          </w:p>
        </w:tc>
        <w:tc>
          <w:tcPr>
            <w:tcW w:type="dxa" w:w="960"/>
          </w:tcPr>
          <w:p>
            <w:r>
              <w:t>0.37</w:t>
            </w:r>
          </w:p>
        </w:tc>
        <w:tc>
          <w:tcPr>
            <w:tcW w:type="dxa" w:w="960"/>
          </w:tcPr>
          <w:p>
            <w:r>
              <w:t>布林带收口，说明波动率下降，股价可能处于蓄势阶段，但方向尚未确认。</w:t>
            </w:r>
          </w:p>
        </w:tc>
      </w:tr>
    </w:tbl>
    <w:p>
      <w:pPr>
        <w:pStyle w:val="Heading2"/>
      </w:pPr>
      <w:r>
        <w:t>二、重点结论</w:t>
      </w:r>
    </w:p>
    <w:p>
      <w:pPr>
        <w:pStyle w:val="ListBullet"/>
      </w:pPr>
      <w:r>
        <w:t>强信号：QCOM。</w:t>
      </w:r>
    </w:p>
    <w:p>
      <w:pPr>
        <w:pStyle w:val="ListBullet"/>
      </w:pPr>
      <w:r>
        <w:t>中等信号：无。</w:t>
      </w:r>
    </w:p>
    <w:p>
      <w:pPr>
        <w:pStyle w:val="ListBullet"/>
      </w:pPr>
      <w:r>
        <w:t>观察信号：DELL, NVDA, NNE, ORCL, OPTX, QSI。</w:t>
      </w:r>
    </w:p>
    <w:p>
      <w:pPr>
        <w:pStyle w:val="ListBullet"/>
      </w:pPr>
      <w:r>
        <w:t>今日优先复核：QCOM, DELL, NVDA, NNE, ORCL。优先看是否放量、能否站稳上轨或中轨。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QCOM - QUALCOMM Incorporated</w:t>
      </w:r>
    </w:p>
    <w:p>
      <w:pPr>
        <w:pStyle w:val="ListBullet"/>
      </w:pPr>
      <w:r>
        <w:t>信号等级：A 强信号</w:t>
      </w:r>
    </w:p>
    <w:p>
      <w:pPr>
        <w:pStyle w:val="ListBullet"/>
      </w:pPr>
      <w:r>
        <w:t>最新收盘价：$170.48</w:t>
      </w:r>
    </w:p>
    <w:p>
      <w:pPr>
        <w:pStyle w:val="ListBullet"/>
      </w:pPr>
      <w:r>
        <w:t>BOLL：上轨 $168.71；中轨 $162.75；下轨 $156.78</w:t>
      </w:r>
    </w:p>
    <w:p>
      <w:pPr>
        <w:pStyle w:val="ListBullet"/>
      </w:pPr>
      <w:r>
        <w:t>Bandwidth：7.33%；历史分位：7.14%；%B：1.148</w:t>
      </w:r>
    </w:p>
    <w:p>
      <w:pPr>
        <w:pStyle w:val="ListBullet"/>
      </w:pPr>
      <w:r>
        <w:t>成交量：当日 12726310；20日均量 9649960；量比 1.32</w:t>
      </w:r>
    </w:p>
    <w:p>
      <w:pPr>
        <w:pStyle w:val="ListBullet"/>
      </w:pPr>
      <w:r>
        <w:t>触发信号：放量突破上轨-中；中轨反弹并接近上轨；成交量放大</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风险提示：尚未连续两日站上上轨，需要下一交易日确认。</w:t>
      </w:r>
    </w:p>
    <w:p>
      <w:pPr>
        <w:pStyle w:val="Heading3"/>
      </w:pPr>
      <w:r>
        <w:t>DELL - Dell Technologies</w:t>
      </w:r>
    </w:p>
    <w:p>
      <w:pPr>
        <w:pStyle w:val="ListBullet"/>
      </w:pPr>
      <w:r>
        <w:t>信号等级：C 观察信号</w:t>
      </w:r>
    </w:p>
    <w:p>
      <w:pPr>
        <w:pStyle w:val="ListBullet"/>
      </w:pPr>
      <w:r>
        <w:t>最新收盘价：$456.01</w:t>
      </w:r>
    </w:p>
    <w:p>
      <w:pPr>
        <w:pStyle w:val="ListBullet"/>
      </w:pPr>
      <w:r>
        <w:t>BOLL：上轨 $495.66；中轨 $459.30；下轨 $422.94</w:t>
      </w:r>
    </w:p>
    <w:p>
      <w:pPr>
        <w:pStyle w:val="ListBullet"/>
      </w:pPr>
      <w:r>
        <w:t>Bandwidth：15.83%；历史分位：21.43%；%B：0.455</w:t>
      </w:r>
    </w:p>
    <w:p>
      <w:pPr>
        <w:pStyle w:val="ListBullet"/>
      </w:pPr>
      <w:r>
        <w:t>成交量：当日 7614148；20日均量 5402862；量比 1.41</w:t>
      </w:r>
    </w:p>
    <w:p>
      <w:pPr>
        <w:pStyle w:val="ListBullet"/>
      </w:pPr>
      <w:r>
        <w:t>触发信号：弱收口：Bandwidth低于近8个月30%分位且最近8个交易日及以上连续下降；中轨附近窄幅震荡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NVDA - NVIDIA</w:t>
      </w:r>
    </w:p>
    <w:p>
      <w:pPr>
        <w:pStyle w:val="ListBullet"/>
      </w:pPr>
      <w:r>
        <w:t>信号等级：C 观察信号</w:t>
      </w:r>
    </w:p>
    <w:p>
      <w:pPr>
        <w:pStyle w:val="ListBullet"/>
      </w:pPr>
      <w:r>
        <w:t>最新收盘价：$220.78</w:t>
      </w:r>
    </w:p>
    <w:p>
      <w:pPr>
        <w:pStyle w:val="ListBullet"/>
      </w:pPr>
      <w:r>
        <w:t>BOLL：上轨 $229.36；中轨 $218.75；下轨 $208.15</w:t>
      </w:r>
    </w:p>
    <w:p>
      <w:pPr>
        <w:pStyle w:val="ListBullet"/>
      </w:pPr>
      <w:r>
        <w:t>Bandwidth：9.69%；历史分位：9.52%；%B：0.596</w:t>
      </w:r>
    </w:p>
    <w:p>
      <w:pPr>
        <w:pStyle w:val="ListBullet"/>
      </w:pPr>
      <w:r>
        <w:t>成交量：当日 124033835；20日均量 127651392；量比 0.97</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NNE - Nano Nuclear Energy Inc.</w:t>
      </w:r>
    </w:p>
    <w:p>
      <w:pPr>
        <w:pStyle w:val="ListBullet"/>
      </w:pPr>
      <w:r>
        <w:t>信号等级：C 观察信号</w:t>
      </w:r>
    </w:p>
    <w:p>
      <w:pPr>
        <w:pStyle w:val="ListBullet"/>
      </w:pPr>
      <w:r>
        <w:t>最新收盘价：$18.29</w:t>
      </w:r>
    </w:p>
    <w:p>
      <w:pPr>
        <w:pStyle w:val="ListBullet"/>
      </w:pPr>
      <w:r>
        <w:t>BOLL：上轨 $20.16；中轨 $18.76；下轨 $17.36</w:t>
      </w:r>
    </w:p>
    <w:p>
      <w:pPr>
        <w:pStyle w:val="ListBullet"/>
      </w:pPr>
      <w:r>
        <w:t>Bandwidth：14.96%；历史分位：0.60%；%B：0.332</w:t>
      </w:r>
    </w:p>
    <w:p>
      <w:pPr>
        <w:pStyle w:val="ListBullet"/>
      </w:pPr>
      <w:r>
        <w:t>成交量：当日 1186145；20日均量 1770077；量比 0.67</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ORCL - Oracle</w:t>
      </w:r>
    </w:p>
    <w:p>
      <w:pPr>
        <w:pStyle w:val="ListBullet"/>
      </w:pPr>
      <w:r>
        <w:t>信号等级：C 观察信号</w:t>
      </w:r>
    </w:p>
    <w:p>
      <w:pPr>
        <w:pStyle w:val="ListBullet"/>
      </w:pPr>
      <w:r>
        <w:t>最新收盘价：$149.12</w:t>
      </w:r>
    </w:p>
    <w:p>
      <w:pPr>
        <w:pStyle w:val="ListBullet"/>
      </w:pPr>
      <w:r>
        <w:t>BOLL：上轨 $155.09；中轨 $147.35；下轨 $139.61</w:t>
      </w:r>
    </w:p>
    <w:p>
      <w:pPr>
        <w:pStyle w:val="ListBullet"/>
      </w:pPr>
      <w:r>
        <w:t>Bandwidth：10.51%；历史分位：1.79%；%B：0.615</w:t>
      </w:r>
    </w:p>
    <w:p>
      <w:pPr>
        <w:pStyle w:val="ListBullet"/>
      </w:pPr>
      <w:r>
        <w:t>成交量：当日 15659481；20日均量 23411124；量比 0.67</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OPTX - Syntec Optics Holdings</w:t>
      </w:r>
    </w:p>
    <w:p>
      <w:pPr>
        <w:pStyle w:val="ListBullet"/>
      </w:pPr>
      <w:r>
        <w:t>信号等级：C 观察信号</w:t>
      </w:r>
    </w:p>
    <w:p>
      <w:pPr>
        <w:pStyle w:val="ListBullet"/>
      </w:pPr>
      <w:r>
        <w:t>最新收盘价：$8.19</w:t>
      </w:r>
    </w:p>
    <w:p>
      <w:pPr>
        <w:pStyle w:val="ListBullet"/>
      </w:pPr>
      <w:r>
        <w:t>BOLL：上轨 $9.27；中轨 $8.33；下轨 $7.40</w:t>
      </w:r>
    </w:p>
    <w:p>
      <w:pPr>
        <w:pStyle w:val="ListBullet"/>
      </w:pPr>
      <w:r>
        <w:t>Bandwidth：22.46%；历史分位：0.60%；%B：0.425</w:t>
      </w:r>
    </w:p>
    <w:p>
      <w:pPr>
        <w:pStyle w:val="ListBullet"/>
      </w:pPr>
      <w:r>
        <w:t>成交量：当日 178485；20日均量 283679；量比 0.63</w:t>
      </w:r>
    </w:p>
    <w:p>
      <w:pPr>
        <w:pStyle w:val="ListBullet"/>
      </w:pPr>
      <w:r>
        <w:t>触发信号：强收口：Bandwidth创近100日新低；中轨附近窄幅震荡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QSI - Quantum-Si Incorporated</w:t>
      </w:r>
    </w:p>
    <w:p>
      <w:pPr>
        <w:pStyle w:val="ListBullet"/>
      </w:pPr>
      <w:r>
        <w:t>信号等级：C 观察信号</w:t>
      </w:r>
    </w:p>
    <w:p>
      <w:pPr>
        <w:pStyle w:val="ListBullet"/>
      </w:pPr>
      <w:r>
        <w:t>最新收盘价：$0.77</w:t>
      </w:r>
    </w:p>
    <w:p>
      <w:pPr>
        <w:pStyle w:val="ListBullet"/>
      </w:pPr>
      <w:r>
        <w:t>BOLL：上轨 $0.85；中轨 $0.78；下轨 $0.72</w:t>
      </w:r>
    </w:p>
    <w:p>
      <w:pPr>
        <w:pStyle w:val="ListBullet"/>
      </w:pPr>
      <w:r>
        <w:t>Bandwidth：16.70%；历史分位：2.38%；%B：0.361</w:t>
      </w:r>
    </w:p>
    <w:p>
      <w:pPr>
        <w:pStyle w:val="ListBullet"/>
      </w:pPr>
      <w:r>
        <w:t>成交量：当日 1133155；20日均量 3086893；量比 0.37</w:t>
      </w:r>
    </w:p>
    <w:p>
      <w:pPr>
        <w:pStyle w:val="ListBullet"/>
      </w:pPr>
      <w:r>
        <w:t>触发信号：强收口：Bandwidth创近100日新低；中轨附近窄幅震荡；低位形态</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tbl>
      <w:tblPr>
        <w:tblStyle w:val="TableGrid"/>
        <w:tblW w:type="auto" w:w="0"/>
        <w:tblLook w:firstColumn="1" w:firstRow="1" w:lastColumn="0" w:lastRow="0" w:noHBand="0" w:noVBand="1" w:val="04A0"/>
      </w:tblPr>
      <w:tblGrid>
        <w:gridCol w:w="2880"/>
        <w:gridCol w:w="2880"/>
        <w:gridCol w:w="2880"/>
      </w:tblGrid>
      <w:tr>
        <w:tc>
          <w:tcPr>
            <w:tcW w:type="dxa" w:w="2880"/>
          </w:tcPr>
          <w:p>
            <w:r>
              <w:t>股票代码</w:t>
            </w:r>
          </w:p>
        </w:tc>
        <w:tc>
          <w:tcPr>
            <w:tcW w:type="dxa" w:w="2880"/>
          </w:tcPr>
          <w:p>
            <w:r>
              <w:t>公司名称</w:t>
            </w:r>
          </w:p>
        </w:tc>
        <w:tc>
          <w:tcPr>
            <w:tcW w:type="dxa" w:w="2880"/>
          </w:tcPr>
          <w:p>
            <w:r>
              <w:t>原因</w:t>
            </w:r>
          </w:p>
        </w:tc>
      </w:tr>
      <w:tr>
        <w:tc>
          <w:tcPr>
            <w:tcW w:type="dxa" w:w="2880"/>
          </w:tcPr>
          <w:p>
            <w:r>
              <w:t>SPCX</w:t>
            </w:r>
          </w:p>
        </w:tc>
        <w:tc>
          <w:tcPr>
            <w:tcW w:type="dxa" w:w="2880"/>
          </w:tcPr>
          <w:p>
            <w:r>
              <w:t>Space Exploration Technologies</w:t>
            </w:r>
          </w:p>
        </w:tc>
        <w:tc>
          <w:tcPr>
            <w:tcW w:type="dxa" w:w="2880"/>
          </w:tcPr>
          <w:p>
            <w:r>
              <w:t>数据长度不足，无法稳定计算 BOLL</w:t>
            </w:r>
          </w:p>
        </w:tc>
      </w:tr>
    </w:tbl>
    <w:p>
      <w:pPr>
        <w:pStyle w:val="Heading2"/>
      </w:pPr>
      <w:r>
        <w:t>五、无明显 BOLL 信号</w:t>
      </w:r>
    </w:p>
    <w:p>
      <w:r>
        <w:t>NOK（Nokia Oyj）, XE（X-energy）, RKLB（Rocket Lab USA）, NBIS（Nebius Group）, ARM（Arm Holdings）, GLW（Corning）, COHR（Coherent）, LITE（Lumentum Holdings）, MRVL（Marvell Technology）, INTC（Intel）, ALAB（Astera Labs）, FLNC（Fluence Energy）, CRWV（CoreWeave）, NVTS（Navitas Semiconductor）, POET（POET Technologies）, BB（BlackBerry）, ONDS（Ondas Holdings）, SMR（NuScale Power）, OKLO（Oklo）, IONQ（IonQ）, QBTS（D-Wave Quantum）, AMZN（Amazon.com）, AMD（Advanced Micro Devices）, CRCL（Circle Internet Group）, FLY（Firefly Aerospace）, CBRS（Chain Bridge Bancorp）, CIEN（Ciena）, SIVEF（Sivers Semiconductors）, SHAZ（Shaz）, LUNR（Intuitive Machines）, ASTS（AST SpaceMobile）, AAOI（Applied Optoelectronics）, INOD（Innodata）, RDW（Redwire Corporation）, COIN（Coinbase Global, Inc.）, CORZ（Core Scientific, Inc.）, IREN（IREN LIMITED）, VELO（Velo3D, Inc.）, MSFT（Microsoft Corporation）, GOOG（Alphabet Inc.）, AVGO（Broadcom Inc.）, AMAT（Applied Materials, Inc.）, AMKR（Amkor Technology, Inc.）, LRCX（Lam Research Corporation）, SNDK（Sandisk Corporation）, MU（Micron Technology, Inc.）, VICR（Vicor Corporation）, CCJ（Cameco Corporation）, BWAY（Brainsway Ltd.）, MANE（Veradermics, Incorporated）, CRSP（CRISPR Therapeutics AG）, IBRX（ImmunityBio, Inc.）, INSP（Inspire Medical Systems, Inc.）</w:t>
      </w:r>
    </w:p>
    <w:p>
      <w:r>
        <w:br w:type="page"/>
      </w:r>
    </w:p>
    <w:p>
      <w:pPr>
        <w:pStyle w:val="Heading2"/>
      </w:pPr>
      <w:r>
        <w:t>六、触发股票 BOLL 图表</w:t>
      </w:r>
    </w:p>
    <w:p>
      <w:pPr>
        <w:pStyle w:val="Heading3"/>
      </w:pPr>
      <w:r>
        <w:t>QCOM - QUALCOMM Incorporated</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QCOM_BOLL.png"/>
                    <pic:cNvPicPr/>
                  </pic:nvPicPr>
                  <pic:blipFill>
                    <a:blip r:embed="rId9"/>
                    <a:stretch>
                      <a:fillRect/>
                    </a:stretch>
                  </pic:blipFill>
                  <pic:spPr>
                    <a:xfrm>
                      <a:off x="0" y="0"/>
                      <a:ext cx="6035040" cy="4054793"/>
                    </a:xfrm>
                    <a:prstGeom prst="rect"/>
                  </pic:spPr>
                </pic:pic>
              </a:graphicData>
            </a:graphic>
          </wp:inline>
        </w:drawing>
      </w:r>
    </w:p>
    <w:p>
      <w:pPr>
        <w:pStyle w:val="Heading3"/>
      </w:pPr>
      <w:r>
        <w:t>DELL - Dell Technologies</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DELL_BOLL.png"/>
                    <pic:cNvPicPr/>
                  </pic:nvPicPr>
                  <pic:blipFill>
                    <a:blip r:embed="rId10"/>
                    <a:stretch>
                      <a:fillRect/>
                    </a:stretch>
                  </pic:blipFill>
                  <pic:spPr>
                    <a:xfrm>
                      <a:off x="0" y="0"/>
                      <a:ext cx="6035040" cy="4054793"/>
                    </a:xfrm>
                    <a:prstGeom prst="rect"/>
                  </pic:spPr>
                </pic:pic>
              </a:graphicData>
            </a:graphic>
          </wp:inline>
        </w:drawing>
      </w:r>
    </w:p>
    <w:p>
      <w:pPr>
        <w:pStyle w:val="Heading3"/>
      </w:pPr>
      <w:r>
        <w:t>NVDA - NVIDIA</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NVDA_BOLL.png"/>
                    <pic:cNvPicPr/>
                  </pic:nvPicPr>
                  <pic:blipFill>
                    <a:blip r:embed="rId11"/>
                    <a:stretch>
                      <a:fillRect/>
                    </a:stretch>
                  </pic:blipFill>
                  <pic:spPr>
                    <a:xfrm>
                      <a:off x="0" y="0"/>
                      <a:ext cx="6035040" cy="4054793"/>
                    </a:xfrm>
                    <a:prstGeom prst="rect"/>
                  </pic:spPr>
                </pic:pic>
              </a:graphicData>
            </a:graphic>
          </wp:inline>
        </w:drawing>
      </w:r>
    </w:p>
    <w:p>
      <w:pPr>
        <w:pStyle w:val="Heading3"/>
      </w:pPr>
      <w:r>
        <w:t>NNE - Nano Nuclear Energy Inc.</w:t>
      </w:r>
    </w:p>
    <w:p>
      <w:r>
        <w:drawing>
          <wp:inline xmlns:a="http://schemas.openxmlformats.org/drawingml/2006/main" xmlns:pic="http://schemas.openxmlformats.org/drawingml/2006/picture">
            <wp:extent cx="6035040" cy="4054793"/>
            <wp:docPr id="4" name="Picture 4"/>
            <wp:cNvGraphicFramePr>
              <a:graphicFrameLocks noChangeAspect="1"/>
            </wp:cNvGraphicFramePr>
            <a:graphic>
              <a:graphicData uri="http://schemas.openxmlformats.org/drawingml/2006/picture">
                <pic:pic>
                  <pic:nvPicPr>
                    <pic:cNvPr id="0" name="NNE_BOLL.png"/>
                    <pic:cNvPicPr/>
                  </pic:nvPicPr>
                  <pic:blipFill>
                    <a:blip r:embed="rId12"/>
                    <a:stretch>
                      <a:fillRect/>
                    </a:stretch>
                  </pic:blipFill>
                  <pic:spPr>
                    <a:xfrm>
                      <a:off x="0" y="0"/>
                      <a:ext cx="6035040" cy="4054793"/>
                    </a:xfrm>
                    <a:prstGeom prst="rect"/>
                  </pic:spPr>
                </pic:pic>
              </a:graphicData>
            </a:graphic>
          </wp:inline>
        </w:drawing>
      </w:r>
    </w:p>
    <w:p>
      <w:pPr>
        <w:pStyle w:val="Heading3"/>
      </w:pPr>
      <w:r>
        <w:t>ORCL - Oracle</w:t>
      </w:r>
    </w:p>
    <w:p>
      <w:r>
        <w:drawing>
          <wp:inline xmlns:a="http://schemas.openxmlformats.org/drawingml/2006/main" xmlns:pic="http://schemas.openxmlformats.org/drawingml/2006/picture">
            <wp:extent cx="6035040" cy="4054793"/>
            <wp:docPr id="5" name="Picture 5"/>
            <wp:cNvGraphicFramePr>
              <a:graphicFrameLocks noChangeAspect="1"/>
            </wp:cNvGraphicFramePr>
            <a:graphic>
              <a:graphicData uri="http://schemas.openxmlformats.org/drawingml/2006/picture">
                <pic:pic>
                  <pic:nvPicPr>
                    <pic:cNvPr id="0" name="ORCL_BOLL.png"/>
                    <pic:cNvPicPr/>
                  </pic:nvPicPr>
                  <pic:blipFill>
                    <a:blip r:embed="rId13"/>
                    <a:stretch>
                      <a:fillRect/>
                    </a:stretch>
                  </pic:blipFill>
                  <pic:spPr>
                    <a:xfrm>
                      <a:off x="0" y="0"/>
                      <a:ext cx="6035040" cy="4054793"/>
                    </a:xfrm>
                    <a:prstGeom prst="rect"/>
                  </pic:spPr>
                </pic:pic>
              </a:graphicData>
            </a:graphic>
          </wp:inline>
        </w:drawing>
      </w:r>
    </w:p>
    <w:p>
      <w:pPr>
        <w:pStyle w:val="Heading3"/>
      </w:pPr>
      <w:r>
        <w:t>OPTX - Syntec Optics Holdings</w:t>
      </w:r>
    </w:p>
    <w:p>
      <w:r>
        <w:drawing>
          <wp:inline xmlns:a="http://schemas.openxmlformats.org/drawingml/2006/main" xmlns:pic="http://schemas.openxmlformats.org/drawingml/2006/picture">
            <wp:extent cx="6035040" cy="4054793"/>
            <wp:docPr id="6" name="Picture 6"/>
            <wp:cNvGraphicFramePr>
              <a:graphicFrameLocks noChangeAspect="1"/>
            </wp:cNvGraphicFramePr>
            <a:graphic>
              <a:graphicData uri="http://schemas.openxmlformats.org/drawingml/2006/picture">
                <pic:pic>
                  <pic:nvPicPr>
                    <pic:cNvPr id="0" name="OPTX_BOLL.png"/>
                    <pic:cNvPicPr/>
                  </pic:nvPicPr>
                  <pic:blipFill>
                    <a:blip r:embed="rId14"/>
                    <a:stretch>
                      <a:fillRect/>
                    </a:stretch>
                  </pic:blipFill>
                  <pic:spPr>
                    <a:xfrm>
                      <a:off x="0" y="0"/>
                      <a:ext cx="6035040" cy="4054793"/>
                    </a:xfrm>
                    <a:prstGeom prst="rect"/>
                  </pic:spPr>
                </pic:pic>
              </a:graphicData>
            </a:graphic>
          </wp:inline>
        </w:drawing>
      </w:r>
    </w:p>
    <w:p>
      <w:pPr>
        <w:pStyle w:val="Heading3"/>
      </w:pPr>
      <w:r>
        <w:t>QSI - Quantum-Si Incorporated</w:t>
      </w:r>
    </w:p>
    <w:p>
      <w:r>
        <w:drawing>
          <wp:inline xmlns:a="http://schemas.openxmlformats.org/drawingml/2006/main" xmlns:pic="http://schemas.openxmlformats.org/drawingml/2006/picture">
            <wp:extent cx="6035040" cy="4054793"/>
            <wp:docPr id="7" name="Picture 7"/>
            <wp:cNvGraphicFramePr>
              <a:graphicFrameLocks noChangeAspect="1"/>
            </wp:cNvGraphicFramePr>
            <a:graphic>
              <a:graphicData uri="http://schemas.openxmlformats.org/drawingml/2006/picture">
                <pic:pic>
                  <pic:nvPicPr>
                    <pic:cNvPr id="0" name="QSI_BOLL.png"/>
                    <pic:cNvPicPr/>
                  </pic:nvPicPr>
                  <pic:blipFill>
                    <a:blip r:embed="rId15"/>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