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报告日期：2026-08-31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95.55</w:t>
            </w:r>
          </w:p>
        </w:tc>
        <w:tc>
          <w:tcPr>
            <w:tcW w:type="dxa" w:w="1440"/>
          </w:tcPr>
          <w:p>
            <w:r>
              <w:t>短期涨幅偏大；中期涨幅偏大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59.10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84.89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21.12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107.69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15.36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当前价格：95.55</w:t>
      </w:r>
    </w:p>
    <w:p>
      <w:r>
        <w:t>趋势过滤：上升趋势；上升趋势评分：10</w:t>
      </w:r>
    </w:p>
    <w:p>
      <w:r>
        <w:t>当前状态：高位过热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RSI：RSI6=69.7；RSI12=68.4；RSI24=61.0；RSI暂无明显风险</w:t>
      </w:r>
    </w:p>
    <w:p>
      <w:pPr>
        <w:pStyle w:val="ListBullet"/>
      </w:pPr>
      <w:r>
        <w:t>MA20/50/200：MA20=77.80；MA50=70.72；MA200=84.82；偏离MA20超过20%；偏离MA50超过35%</w:t>
      </w:r>
    </w:p>
    <w:p>
      <w:pPr>
        <w:pStyle w:val="ListBullet"/>
      </w:pPr>
      <w:r>
        <w:t>成交量变化：Volume/MA20=1.33倍；成交量为20日均量的1.33倍</w:t>
      </w:r>
    </w:p>
    <w:p>
      <w:r>
        <w:t>主要风险来源：</w:t>
      </w:r>
    </w:p>
    <w:p>
      <w:pPr>
        <w:pStyle w:val="ListBullet"/>
      </w:pPr>
      <w:r>
        <w:t>短期涨幅偏大</w:t>
      </w:r>
    </w:p>
    <w:p>
      <w:pPr>
        <w:pStyle w:val="ListBullet"/>
      </w:pPr>
      <w:r>
        <w:t>中期涨幅偏大</w:t>
      </w:r>
    </w:p>
    <w:p>
      <w:r>
        <w:t>判断：高位过热。MACD暂无明显转弱；KDJ暂无明显风险；RSI暂无明显风险。</w:t>
      </w:r>
    </w:p>
    <w:p>
      <w:r>
        <w:t>建议观察位置：当前价格 95.55；MA20 77.80；MA50 70.72；MA200 84.82。若后续有效跌破MA50，趋势进一步恶化的概率上升。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当前价格：8.19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RSI：RSI6=44.4；RSI12=48.4；RSI24=48.3；未进入过热见顶评分</w:t>
      </w:r>
    </w:p>
    <w:p>
      <w:pPr>
        <w:pStyle w:val="ListBullet"/>
      </w:pPr>
      <w:r>
        <w:t>MA20/50/200：MA20=8.33；MA50=8.60；MA200=7.05；收盘价站上MA200；MA50高于MA200；MA20斜率向上；近20日收益为正</w:t>
      </w:r>
    </w:p>
    <w:p>
      <w:pPr>
        <w:pStyle w:val="ListBullet"/>
      </w:pPr>
      <w:r>
        <w:t>成交量变化：Volume/MA20=0.63倍；成交量为20日均量的0.63倍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8.19；MA20 8.33；MA50 8.60；MA200 7.05。若后续有效跌破MA50，趋势进一步恶化的概率上升。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当前价格：59.10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RSI：RSI6=33.9；RSI12=39.9；RSI24=43.5；未进入过热见顶评分</w:t>
      </w:r>
    </w:p>
    <w:p>
      <w:pPr>
        <w:pStyle w:val="ListBullet"/>
      </w:pPr>
      <w:r>
        <w:t>MA20/50/200：MA20=66.82；MA50=67.48；MA200=81.41；MA20斜率向上</w:t>
      </w:r>
    </w:p>
    <w:p>
      <w:pPr>
        <w:pStyle w:val="ListBullet"/>
      </w:pPr>
      <w:r>
        <w:t>成交量变化：Volume/MA20=0.78倍；成交量为20日均量的0.78倍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59.10；MA20 66.82；MA50 67.48；MA200 81.41。若后续有效跌破MA50，趋势进一步恶化的概率上升。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当前价格：84.89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RSI：RSI6=34.5；RSI12=44.6；RSI24=47.2；未进入过热见顶评分</w:t>
      </w:r>
    </w:p>
    <w:p>
      <w:pPr>
        <w:pStyle w:val="ListBullet"/>
      </w:pPr>
      <w:r>
        <w:t>MA20/50/200：MA20=92.07；MA50=87.22；MA200=91.37；MA20高于MA50；MA20斜率向上</w:t>
      </w:r>
    </w:p>
    <w:p>
      <w:pPr>
        <w:pStyle w:val="ListBullet"/>
      </w:pPr>
      <w:r>
        <w:t>成交量变化：Volume/MA20=0.47倍；成交量为20日均量的0.47倍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84.89；MA20 92.07；MA50 87.22；MA200 91.37。若后续有效跌破MA50，趋势进一步恶化的概率上升。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数据提示：历史数据不足300个交易日，当前仅268个交易日；部分长期均线可能为空。</w:t>
      </w:r>
    </w:p>
    <w:p>
      <w:r>
        <w:t>当前价格：21.12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RSI：RSI6=21.3；RSI12=36.0；RSI24=41.8；未进入过热见顶评分</w:t>
      </w:r>
    </w:p>
    <w:p>
      <w:pPr>
        <w:pStyle w:val="ListBullet"/>
      </w:pPr>
      <w:r>
        <w:t>MA20/50/200：MA20=24.40；MA50=23.76；MA200=27.52；MA20高于MA50；MA20斜率向上</w:t>
      </w:r>
    </w:p>
    <w:p>
      <w:pPr>
        <w:pStyle w:val="ListBullet"/>
      </w:pPr>
      <w:r>
        <w:t>成交量变化：Volume/MA20=0.74倍；成交量为20日均量的0.74倍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21.12；MA20 24.40；MA50 23.76；MA200 27.52。若后续有效跌破MA50，趋势进一步恶化的概率上升。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当前价格：107.69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RSI：RSI6=35.0；RSI12=42.4；RSI24=45.5；未进入过热见顶评分</w:t>
      </w:r>
    </w:p>
    <w:p>
      <w:pPr>
        <w:pStyle w:val="ListBullet"/>
      </w:pPr>
      <w:r>
        <w:t>MA20/50/200：MA20=126.49；MA50=121.47；MA200=99.89；MA20高于MA50；收盘价站上MA200；MA50高于MA200；MA20斜率向上</w:t>
      </w:r>
    </w:p>
    <w:p>
      <w:pPr>
        <w:pStyle w:val="ListBullet"/>
      </w:pPr>
      <w:r>
        <w:t>成交量变化：Volume/MA20=0.37倍；成交量为20日均量的0.37倍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107.69；MA20 126.49；MA50 121.47；MA200 99.89。若后续有效跌破MA50，趋势进一步恶化的概率上升。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当前价格：15.36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RSI：RSI6=29.4；RSI12=41.8；RSI24=43.9；未进入过热见顶评分</w:t>
      </w:r>
    </w:p>
    <w:p>
      <w:pPr>
        <w:pStyle w:val="ListBullet"/>
      </w:pPr>
      <w:r>
        <w:t>MA20/50/200：MA20=16.79；MA50=16.42；MA200=19.67；MA20高于MA50；MA20斜率向上；近20日收益为正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15.36；MA20 16.79；MA50 16.42；MA200 19.67。若后续有效跌破MA50，趋势进一步恶化的概率上升。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当前价格：7.66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RSI：RSI6=30.8；RSI12=39.9；RSI24=44.9；未进入过热见顶评分</w:t>
      </w:r>
    </w:p>
    <w:p>
      <w:pPr>
        <w:pStyle w:val="ListBullet"/>
      </w:pPr>
      <w:r>
        <w:t>MA20/50/200：MA20=8.78；MA50=8.09；MA200=9.50；MA20高于MA50；MA20斜率向上</w:t>
      </w:r>
    </w:p>
    <w:p>
      <w:pPr>
        <w:pStyle w:val="ListBullet"/>
      </w:pPr>
      <w:r>
        <w:t>成交量变化：Volume/MA20=0.40倍；成交量为20日均量的0.40倍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7.66；MA20 8.78；MA50 8.09；MA200 9.50。若后续有效跌破MA50，趋势进一步恶化的概率上升。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