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- 2026-09-16</w:t>
      </w:r>
    </w:p>
    <w:p>
      <w:pPr>
        <w:pStyle w:val="ListBullet"/>
      </w:pPr>
      <w:r>
        <w:t>生成时间（美东）：2026-09-16 21:30:30 EDT</w:t>
      </w:r>
    </w:p>
    <w:p>
      <w:pPr>
        <w:pStyle w:val="ListBullet"/>
      </w:pPr>
      <w:r>
        <w:t>最新可用交易日：2026-09-16</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INSP</w:t>
            </w:r>
          </w:p>
        </w:tc>
        <w:tc>
          <w:tcPr>
            <w:tcW w:type="dxa" w:w="960"/>
          </w:tcPr>
          <w:p>
            <w:r>
              <w:t>Inspire Medical Systems, Inc.</w:t>
            </w:r>
          </w:p>
        </w:tc>
        <w:tc>
          <w:tcPr>
            <w:tcW w:type="dxa" w:w="960"/>
          </w:tcPr>
          <w:p>
            <w:r>
              <w:t>A 强信号</w:t>
            </w:r>
          </w:p>
        </w:tc>
        <w:tc>
          <w:tcPr>
            <w:tcW w:type="dxa" w:w="960"/>
          </w:tcPr>
          <w:p>
            <w:r>
              <w:t>布林带向上开口（最近5天）；成交量放大；放量突破上轨-中；连续2日站上上轨</w:t>
            </w:r>
          </w:p>
        </w:tc>
        <w:tc>
          <w:tcPr>
            <w:tcW w:type="dxa" w:w="960"/>
          </w:tcPr>
          <w:p>
            <w:r>
              <w:t>突破上轨</w:t>
            </w:r>
          </w:p>
        </w:tc>
        <w:tc>
          <w:tcPr>
            <w:tcW w:type="dxa" w:w="960"/>
          </w:tcPr>
          <w:p>
            <w:r>
              <w:t>29.12%</w:t>
            </w:r>
          </w:p>
        </w:tc>
        <w:tc>
          <w:tcPr>
            <w:tcW w:type="dxa" w:w="960"/>
          </w:tcPr>
          <w:p>
            <w:r>
              <w:t>1.066</w:t>
            </w:r>
          </w:p>
        </w:tc>
        <w:tc>
          <w:tcPr>
            <w:tcW w:type="dxa" w:w="960"/>
          </w:tcPr>
          <w:p>
            <w:r>
              <w:t>1.31</w:t>
            </w:r>
          </w:p>
        </w:tc>
        <w:tc>
          <w:tcPr>
            <w:tcW w:type="dxa" w:w="960"/>
          </w:tcPr>
          <w:p>
            <w:r>
              <w:t>股价放量突破布林线上轨，说明短线多头动能较强，可能进入强势上涨阶段，但也要注意短线过热和回</w:t>
            </w:r>
          </w:p>
        </w:tc>
      </w:tr>
      <w:tr>
        <w:tc>
          <w:tcPr>
            <w:tcW w:type="dxa" w:w="960"/>
          </w:tcPr>
          <w:p>
            <w:r>
              <w:t>COHR</w:t>
            </w:r>
          </w:p>
        </w:tc>
        <w:tc>
          <w:tcPr>
            <w:tcW w:type="dxa" w:w="960"/>
          </w:tcPr>
          <w:p>
            <w:r>
              <w:t>Coherent</w:t>
            </w:r>
          </w:p>
        </w:tc>
        <w:tc>
          <w:tcPr>
            <w:tcW w:type="dxa" w:w="960"/>
          </w:tcPr>
          <w:p>
            <w:r>
              <w:t>B 中等信号</w:t>
            </w:r>
          </w:p>
        </w:tc>
        <w:tc>
          <w:tcPr>
            <w:tcW w:type="dxa" w:w="960"/>
          </w:tcPr>
          <w:p>
            <w:r>
              <w:t>强收口：Bandwidth创近100日新低；中轨附近窄幅震荡</w:t>
            </w:r>
          </w:p>
        </w:tc>
        <w:tc>
          <w:tcPr>
            <w:tcW w:type="dxa" w:w="960"/>
          </w:tcPr>
          <w:p>
            <w:r>
              <w:t>中轨附近</w:t>
            </w:r>
          </w:p>
        </w:tc>
        <w:tc>
          <w:tcPr>
            <w:tcW w:type="dxa" w:w="960"/>
          </w:tcPr>
          <w:p>
            <w:r>
              <w:t>17.11%</w:t>
            </w:r>
          </w:p>
        </w:tc>
        <w:tc>
          <w:tcPr>
            <w:tcW w:type="dxa" w:w="960"/>
          </w:tcPr>
          <w:p>
            <w:r>
              <w:t>0.605</w:t>
            </w:r>
          </w:p>
        </w:tc>
        <w:tc>
          <w:tcPr>
            <w:tcW w:type="dxa" w:w="960"/>
          </w:tcPr>
          <w:p>
            <w:r>
              <w:t>1.27</w:t>
            </w:r>
          </w:p>
        </w:tc>
        <w:tc>
          <w:tcPr>
            <w:tcW w:type="dxa" w:w="960"/>
          </w:tcPr>
          <w:p>
            <w:r>
              <w:t>布林带收口，说明波动率下降，股价可能处于蓄势阶段，但方向尚未确认。</w:t>
            </w:r>
          </w:p>
        </w:tc>
      </w:tr>
      <w:tr>
        <w:tc>
          <w:tcPr>
            <w:tcW w:type="dxa" w:w="960"/>
          </w:tcPr>
          <w:p>
            <w:r>
              <w:t>MANE</w:t>
            </w:r>
          </w:p>
        </w:tc>
        <w:tc>
          <w:tcPr>
            <w:tcW w:type="dxa" w:w="960"/>
          </w:tcPr>
          <w:p>
            <w:r>
              <w:t>Veradermics, Incorporated</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15.80%</w:t>
            </w:r>
          </w:p>
        </w:tc>
        <w:tc>
          <w:tcPr>
            <w:tcW w:type="dxa" w:w="960"/>
          </w:tcPr>
          <w:p>
            <w:r>
              <w:t>0.646</w:t>
            </w:r>
          </w:p>
        </w:tc>
        <w:tc>
          <w:tcPr>
            <w:tcW w:type="dxa" w:w="960"/>
          </w:tcPr>
          <w:p>
            <w:r>
              <w:t>1.62</w:t>
            </w:r>
          </w:p>
        </w:tc>
        <w:tc>
          <w:tcPr>
            <w:tcW w:type="dxa" w:w="960"/>
          </w:tcPr>
          <w:p>
            <w:r>
              <w:t>布林带收口，说明波动率下降，股价可能处于蓄势阶段，但方向尚未确认。</w:t>
            </w:r>
          </w:p>
        </w:tc>
      </w:tr>
      <w:tr>
        <w:tc>
          <w:tcPr>
            <w:tcW w:type="dxa" w:w="960"/>
          </w:tcPr>
          <w:p>
            <w:r>
              <w:t>CRCL</w:t>
            </w:r>
          </w:p>
        </w:tc>
        <w:tc>
          <w:tcPr>
            <w:tcW w:type="dxa" w:w="960"/>
          </w:tcPr>
          <w:p>
            <w:r>
              <w:t>Circle Internet Group</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31.51%</w:t>
            </w:r>
          </w:p>
        </w:tc>
        <w:tc>
          <w:tcPr>
            <w:tcW w:type="dxa" w:w="960"/>
          </w:tcPr>
          <w:p>
            <w:r>
              <w:t>0.360</w:t>
            </w:r>
          </w:p>
        </w:tc>
        <w:tc>
          <w:tcPr>
            <w:tcW w:type="dxa" w:w="960"/>
          </w:tcPr>
          <w:p>
            <w:r>
              <w:t>1.43</w:t>
            </w:r>
          </w:p>
        </w:tc>
        <w:tc>
          <w:tcPr>
            <w:tcW w:type="dxa" w:w="960"/>
          </w:tcPr>
          <w:p>
            <w:r>
              <w:t>布林带收口，说明波动率下降，股价可能处于蓄势阶段，但方向尚未确认。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弱收口：Bandwidth连续14天维持低于近8个月30%分位；中轨附近窄幅震荡</w:t>
            </w:r>
          </w:p>
        </w:tc>
        <w:tc>
          <w:tcPr>
            <w:tcW w:type="dxa" w:w="960"/>
          </w:tcPr>
          <w:p>
            <w:r>
              <w:t>中轨附近</w:t>
            </w:r>
          </w:p>
        </w:tc>
        <w:tc>
          <w:tcPr>
            <w:tcW w:type="dxa" w:w="960"/>
          </w:tcPr>
          <w:p>
            <w:r>
              <w:t>7.04%</w:t>
            </w:r>
          </w:p>
        </w:tc>
        <w:tc>
          <w:tcPr>
            <w:tcW w:type="dxa" w:w="960"/>
          </w:tcPr>
          <w:p>
            <w:r>
              <w:t>0.331</w:t>
            </w:r>
          </w:p>
        </w:tc>
        <w:tc>
          <w:tcPr>
            <w:tcW w:type="dxa" w:w="960"/>
          </w:tcPr>
          <w:p>
            <w:r>
              <w:t>0.82</w:t>
            </w:r>
          </w:p>
        </w:tc>
        <w:tc>
          <w:tcPr>
            <w:tcW w:type="dxa" w:w="960"/>
          </w:tcPr>
          <w:p>
            <w:r>
              <w:t>布林带收口，说明波动率下降，股价可能处于蓄势阶段，但方向尚未确认。</w:t>
            </w:r>
          </w:p>
        </w:tc>
      </w:tr>
      <w:tr>
        <w:tc>
          <w:tcPr>
            <w:tcW w:type="dxa" w:w="960"/>
          </w:tcPr>
          <w:p>
            <w:r>
              <w:t>VICR</w:t>
            </w:r>
          </w:p>
        </w:tc>
        <w:tc>
          <w:tcPr>
            <w:tcW w:type="dxa" w:w="960"/>
          </w:tcPr>
          <w:p>
            <w:r>
              <w:t>Vicor Corporation</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21.86%</w:t>
            </w:r>
          </w:p>
        </w:tc>
        <w:tc>
          <w:tcPr>
            <w:tcW w:type="dxa" w:w="960"/>
          </w:tcPr>
          <w:p>
            <w:r>
              <w:t>0.334</w:t>
            </w:r>
          </w:p>
        </w:tc>
        <w:tc>
          <w:tcPr>
            <w:tcW w:type="dxa" w:w="960"/>
          </w:tcPr>
          <w:p>
            <w:r>
              <w:t>0.79</w:t>
            </w:r>
          </w:p>
        </w:tc>
        <w:tc>
          <w:tcPr>
            <w:tcW w:type="dxa" w:w="960"/>
          </w:tcPr>
          <w:p>
            <w:r>
              <w:t>布林带收口，说明波动率下降，股价可能处于蓄势阶段，但方向尚未确认。</w:t>
            </w:r>
          </w:p>
        </w:tc>
      </w:tr>
      <w:tr>
        <w:tc>
          <w:tcPr>
            <w:tcW w:type="dxa" w:w="960"/>
          </w:tcPr>
          <w:p>
            <w:r>
              <w:t>SNDK</w:t>
            </w:r>
          </w:p>
        </w:tc>
        <w:tc>
          <w:tcPr>
            <w:tcW w:type="dxa" w:w="960"/>
          </w:tcPr>
          <w:p>
            <w:r>
              <w:t>Sandisk Corporation</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21.93%</w:t>
            </w:r>
          </w:p>
        </w:tc>
        <w:tc>
          <w:tcPr>
            <w:tcW w:type="dxa" w:w="960"/>
          </w:tcPr>
          <w:p>
            <w:r>
              <w:t>0.345</w:t>
            </w:r>
          </w:p>
        </w:tc>
        <w:tc>
          <w:tcPr>
            <w:tcW w:type="dxa" w:w="960"/>
          </w:tcPr>
          <w:p>
            <w:r>
              <w:t>0.60</w:t>
            </w:r>
          </w:p>
        </w:tc>
        <w:tc>
          <w:tcPr>
            <w:tcW w:type="dxa" w:w="960"/>
          </w:tcPr>
          <w:p>
            <w:r>
              <w:t>布林带收口，说明波动率下降，股价可能处于蓄势阶段，但方向尚未确认。</w:t>
            </w:r>
          </w:p>
        </w:tc>
      </w:tr>
      <w:tr>
        <w:tc>
          <w:tcPr>
            <w:tcW w:type="dxa" w:w="960"/>
          </w:tcPr>
          <w:p>
            <w:r>
              <w:t>CBRS</w:t>
            </w:r>
          </w:p>
        </w:tc>
        <w:tc>
          <w:tcPr>
            <w:tcW w:type="dxa" w:w="960"/>
          </w:tcPr>
          <w:p>
            <w:r>
              <w:t>Chain Bridge Bancorp</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26.15%</w:t>
            </w:r>
          </w:p>
        </w:tc>
        <w:tc>
          <w:tcPr>
            <w:tcW w:type="dxa" w:w="960"/>
          </w:tcPr>
          <w:p>
            <w:r>
              <w:t>0.336</w:t>
            </w:r>
          </w:p>
        </w:tc>
        <w:tc>
          <w:tcPr>
            <w:tcW w:type="dxa" w:w="960"/>
          </w:tcPr>
          <w:p>
            <w:r>
              <w:t>0.53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强信号：INSP。</w:t>
      </w:r>
    </w:p>
    <w:p>
      <w:pPr>
        <w:pStyle w:val="ListBullet"/>
      </w:pPr>
      <w:r>
        <w:t>中等信号：COHR。</w:t>
      </w:r>
    </w:p>
    <w:p>
      <w:pPr>
        <w:pStyle w:val="ListBullet"/>
      </w:pPr>
      <w:r>
        <w:t>观察信号：MANE, CRCL, MSFT, VICR, SNDK, CBRS。</w:t>
      </w:r>
    </w:p>
    <w:p>
      <w:pPr>
        <w:pStyle w:val="ListBullet"/>
      </w:pPr>
      <w:r>
        <w:t>今日优先复核：INSP, COHR, MANE, CRCL, MSFT。优先看是否放量、能否站稳上轨或中轨。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INSP - Inspire Medical Systems, Inc.</w:t>
      </w:r>
    </w:p>
    <w:p>
      <w:pPr>
        <w:pStyle w:val="ListBullet"/>
      </w:pPr>
      <w:r>
        <w:t>信号等级：A 强信号</w:t>
      </w:r>
    </w:p>
    <w:p>
      <w:pPr>
        <w:pStyle w:val="ListBullet"/>
      </w:pPr>
      <w:r>
        <w:t>最新收盘价：$74.60</w:t>
      </w:r>
    </w:p>
    <w:p>
      <w:pPr>
        <w:pStyle w:val="ListBullet"/>
      </w:pPr>
      <w:r>
        <w:t>BOLL：上轨 $73.36；中轨 $64.04；下轨 $54.72</w:t>
      </w:r>
    </w:p>
    <w:p>
      <w:pPr>
        <w:pStyle w:val="ListBullet"/>
      </w:pPr>
      <w:r>
        <w:t>Bandwidth：29.12%；历史分位：63.69%；%B：1.066</w:t>
      </w:r>
    </w:p>
    <w:p>
      <w:pPr>
        <w:pStyle w:val="ListBullet"/>
      </w:pPr>
      <w:r>
        <w:t>成交量：当日 838100；20日均量 640045；量比 1.31</w:t>
      </w:r>
    </w:p>
    <w:p>
      <w:pPr>
        <w:pStyle w:val="ListBullet"/>
      </w:pPr>
      <w:r>
        <w:t>触发信号：布林带向上开口（最近5天）；成交量放大；放量突破上轨-中；连续2日站上上轨；低位形态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COHR - Coherent</w:t>
      </w:r>
    </w:p>
    <w:p>
      <w:pPr>
        <w:pStyle w:val="ListBullet"/>
      </w:pPr>
      <w:r>
        <w:t>信号等级：B 中等信号</w:t>
      </w:r>
    </w:p>
    <w:p>
      <w:pPr>
        <w:pStyle w:val="ListBullet"/>
      </w:pPr>
      <w:r>
        <w:t>最新收盘价：$289.93</w:t>
      </w:r>
    </w:p>
    <w:p>
      <w:pPr>
        <w:pStyle w:val="ListBullet"/>
      </w:pPr>
      <w:r>
        <w:t>BOLL：上轨 $309.16；中轨 $284.79；下轨 $260.43</w:t>
      </w:r>
    </w:p>
    <w:p>
      <w:pPr>
        <w:pStyle w:val="ListBullet"/>
      </w:pPr>
      <w:r>
        <w:t>Bandwidth：17.11%；历史分位：4.76%；%B：0.605</w:t>
      </w:r>
    </w:p>
    <w:p>
      <w:pPr>
        <w:pStyle w:val="ListBullet"/>
      </w:pPr>
      <w:r>
        <w:t>成交量：当日 7505400；20日均量 5906665；量比 1.27</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MANE - Veradermics, Incorporated</w:t>
      </w:r>
    </w:p>
    <w:p>
      <w:pPr>
        <w:pStyle w:val="ListBullet"/>
      </w:pPr>
      <w:r>
        <w:t>信号等级：C 观察信号</w:t>
      </w:r>
    </w:p>
    <w:p>
      <w:pPr>
        <w:pStyle w:val="ListBullet"/>
      </w:pPr>
      <w:r>
        <w:t>最新收盘价：$103.89</w:t>
      </w:r>
    </w:p>
    <w:p>
      <w:pPr>
        <w:pStyle w:val="ListBullet"/>
      </w:pPr>
      <w:r>
        <w:t>BOLL：上轨 $109.56；中轨 $101.54；下轨 $93.52</w:t>
      </w:r>
    </w:p>
    <w:p>
      <w:pPr>
        <w:pStyle w:val="ListBullet"/>
      </w:pPr>
      <w:r>
        <w:t>Bandwidth：15.80%；历史分位：16.30%；%B：0.646</w:t>
      </w:r>
    </w:p>
    <w:p>
      <w:pPr>
        <w:pStyle w:val="ListBullet"/>
      </w:pPr>
      <w:r>
        <w:t>成交量：当日 938800；20日均量 580160；量比 1.62</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CRCL - Circle Internet Group</w:t>
      </w:r>
    </w:p>
    <w:p>
      <w:pPr>
        <w:pStyle w:val="ListBullet"/>
      </w:pPr>
      <w:r>
        <w:t>信号等级：C 观察信号</w:t>
      </w:r>
    </w:p>
    <w:p>
      <w:pPr>
        <w:pStyle w:val="ListBullet"/>
      </w:pPr>
      <w:r>
        <w:t>最新收盘价：$86.30</w:t>
      </w:r>
    </w:p>
    <w:p>
      <w:pPr>
        <w:pStyle w:val="ListBullet"/>
      </w:pPr>
      <w:r>
        <w:t>BOLL：上轨 $104.51；中轨 $90.29；下轨 $76.06</w:t>
      </w:r>
    </w:p>
    <w:p>
      <w:pPr>
        <w:pStyle w:val="ListBullet"/>
      </w:pPr>
      <w:r>
        <w:t>Bandwidth：31.51%；历史分位：27.98%；%B：0.360</w:t>
      </w:r>
    </w:p>
    <w:p>
      <w:pPr>
        <w:pStyle w:val="ListBullet"/>
      </w:pPr>
      <w:r>
        <w:t>成交量：当日 23093100；20日均量 16118330；量比 1.43</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最新收盘价：$490.30</w:t>
      </w:r>
    </w:p>
    <w:p>
      <w:pPr>
        <w:pStyle w:val="ListBullet"/>
      </w:pPr>
      <w:r>
        <w:t>BOLL：上轨 $513.68；中轨 $496.21；下轨 $478.73</w:t>
      </w:r>
    </w:p>
    <w:p>
      <w:pPr>
        <w:pStyle w:val="ListBullet"/>
      </w:pPr>
      <w:r>
        <w:t>Bandwidth：7.04%；历史分位：10.12%；%B：0.331</w:t>
      </w:r>
    </w:p>
    <w:p>
      <w:pPr>
        <w:pStyle w:val="ListBullet"/>
      </w:pPr>
      <w:r>
        <w:t>成交量：当日 16612700；20日均量 20176915；量比 0.82</w:t>
      </w:r>
    </w:p>
    <w:p>
      <w:pPr>
        <w:pStyle w:val="ListBullet"/>
      </w:pPr>
      <w:r>
        <w:t>触发信号：弱收口：Bandwidth连续14天维持低于近8个月30%分位；中轨附近窄幅震荡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VICR - Vicor Corporation</w:t>
      </w:r>
    </w:p>
    <w:p>
      <w:pPr>
        <w:pStyle w:val="ListBullet"/>
      </w:pPr>
      <w:r>
        <w:t>信号等级：C 观察信号</w:t>
      </w:r>
    </w:p>
    <w:p>
      <w:pPr>
        <w:pStyle w:val="ListBullet"/>
      </w:pPr>
      <w:r>
        <w:t>最新收盘价：$183.91</w:t>
      </w:r>
    </w:p>
    <w:p>
      <w:pPr>
        <w:pStyle w:val="ListBullet"/>
      </w:pPr>
      <w:r>
        <w:t>BOLL：上轨 $211.72；中轨 $190.85；下轨 $169.99</w:t>
      </w:r>
    </w:p>
    <w:p>
      <w:pPr>
        <w:pStyle w:val="ListBullet"/>
      </w:pPr>
      <w:r>
        <w:t>Bandwidth：21.86%；历史分位：5.95%；%B：0.334</w:t>
      </w:r>
    </w:p>
    <w:p>
      <w:pPr>
        <w:pStyle w:val="ListBullet"/>
      </w:pPr>
      <w:r>
        <w:t>成交量：当日 556100；20日均量 706650；量比 0.79</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SNDK - Sandisk Corporation</w:t>
      </w:r>
    </w:p>
    <w:p>
      <w:pPr>
        <w:pStyle w:val="ListBullet"/>
      </w:pPr>
      <w:r>
        <w:t>信号等级：C 观察信号</w:t>
      </w:r>
    </w:p>
    <w:p>
      <w:pPr>
        <w:pStyle w:val="ListBullet"/>
      </w:pPr>
      <w:r>
        <w:t>最新收盘价：$1530.90</w:t>
      </w:r>
    </w:p>
    <w:p>
      <w:pPr>
        <w:pStyle w:val="ListBullet"/>
      </w:pPr>
      <w:r>
        <w:t>BOLL：上轨 $1758.63；中轨 $1584.87；下轨 $1411.12</w:t>
      </w:r>
    </w:p>
    <w:p>
      <w:pPr>
        <w:pStyle w:val="ListBullet"/>
      </w:pPr>
      <w:r>
        <w:t>Bandwidth：21.93%；历史分位：1.79%；%B：0.345</w:t>
      </w:r>
    </w:p>
    <w:p>
      <w:pPr>
        <w:pStyle w:val="ListBullet"/>
      </w:pPr>
      <w:r>
        <w:t>成交量：当日 6873900；20日均量 11381690；量比 0.60</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CBRS - Chain Bridge Bancorp</w:t>
      </w:r>
    </w:p>
    <w:p>
      <w:pPr>
        <w:pStyle w:val="ListBullet"/>
      </w:pPr>
      <w:r>
        <w:t>信号等级：C 观察信号</w:t>
      </w:r>
    </w:p>
    <w:p>
      <w:pPr>
        <w:pStyle w:val="ListBullet"/>
      </w:pPr>
      <w:r>
        <w:t>最新收盘价：$184.03</w:t>
      </w:r>
    </w:p>
    <w:p>
      <w:pPr>
        <w:pStyle w:val="ListBullet"/>
      </w:pPr>
      <w:r>
        <w:t>BOLL：上轨 $217.40；中轨 $192.26；下轨 $167.13</w:t>
      </w:r>
    </w:p>
    <w:p>
      <w:pPr>
        <w:pStyle w:val="ListBullet"/>
      </w:pPr>
      <w:r>
        <w:t>Bandwidth：26.15%；历史分位：3.03%；%B：0.336</w:t>
      </w:r>
    </w:p>
    <w:p>
      <w:pPr>
        <w:pStyle w:val="ListBullet"/>
      </w:pPr>
      <w:r>
        <w:t>成交量：当日 3563100；20日均量 6725445；量比 0.53</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LITE（Lumentum Holdings）, MRVL（Marvell Technology）, INTC（Intel）, ALAB（Astera Labs）, FLNC（Fluence Energy）, CRWV（CoreWeave）, ORCL（Oracle）, NVTS（Navitas Semiconductor）, POET（POET Technologies）, DELL（Dell Technologies）, BB（BlackBerry）, ONDS（Ondas Holdings）, SMR（NuScale Power）, OKLO（Oklo）, IONQ（IonQ）, QBTS（D-Wave Quantum）, NVDA（NVIDIA）, AMZN（Amazon.com）, AMD（Advanced Micro Devices）, FLY（Firefly Aerospace）, CIEN（Ciena）, SIVEF（Sivers Semiconductors）, SHAZ（Shaz）, LUNR（Intuitive Machines）, ASTS（AST SpaceMobile）, AAOI（Applied Optoelectronics）, INOD（Innodata）, SPCX（Space Exploration Technologies）, RDW（Redwire Corporation）, QCOM（QUALCOMM Incorporated）, COIN（Coinbase Global, Inc.）, CORZ（Core Scientific, Inc.）, IREN（IREN LIMITED）, VELO（Velo3D, Inc.）, GOOG（Alphabet Inc.）, AVGO（Broadcom Inc.）, AMAT（Applied Materials, Inc.）, AMKR（Amkor Technology, Inc.）, LRCX（Lam Research Corporation）, MU（Micron Technology, Inc.）, NNE（Nano Nuclear Energy Inc.）, CCJ（Cameco Corporation）, BWAY（Brainsway Ltd.）, QSI（Quantum-Si Incorporated）, CRSP（CRISPR Therapeutics AG）, IBRX（ImmunityBio, Inc.）</w:t>
      </w:r>
    </w:p>
    <w:p>
      <w:r>
        <w:br w:type="page"/>
      </w:r>
    </w:p>
    <w:p>
      <w:pPr>
        <w:pStyle w:val="Heading2"/>
      </w:pPr>
      <w:r>
        <w:t>六、触发股票 BOLL 图表</w:t>
      </w:r>
    </w:p>
    <w:p>
      <w:pPr>
        <w:pStyle w:val="Heading3"/>
      </w:pPr>
      <w:r>
        <w:t>INSP - Inspire Medical Systems,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NSP_BOLL.png"/>
                    <pic:cNvPicPr/>
                  </pic:nvPicPr>
                  <pic:blipFill>
                    <a:blip r:embed="rId9"/>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COHR_BOLL.png"/>
                    <pic:cNvPicPr/>
                  </pic:nvPicPr>
                  <pic:blipFill>
                    <a:blip r:embed="rId10"/>
                    <a:stretch>
                      <a:fillRect/>
                    </a:stretch>
                  </pic:blipFill>
                  <pic:spPr>
                    <a:xfrm>
                      <a:off x="0" y="0"/>
                      <a:ext cx="6035040" cy="4054793"/>
                    </a:xfrm>
                    <a:prstGeom prst="rect"/>
                  </pic:spPr>
                </pic:pic>
              </a:graphicData>
            </a:graphic>
          </wp:inline>
        </w:drawing>
      </w:r>
    </w:p>
    <w:p>
      <w:pPr>
        <w:pStyle w:val="Heading3"/>
      </w:pPr>
      <w:r>
        <w:t>MANE - Veradermics, Incorporated</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MANE_BOLL.png"/>
                    <pic:cNvPicPr/>
                  </pic:nvPicPr>
                  <pic:blipFill>
                    <a:blip r:embed="rId11"/>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CRCL_BOLL.png"/>
                    <pic:cNvPicPr/>
                  </pic:nvPicPr>
                  <pic:blipFill>
                    <a:blip r:embed="rId12"/>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MSFT_BOLL.png"/>
                    <pic:cNvPicPr/>
                  </pic:nvPicPr>
                  <pic:blipFill>
                    <a:blip r:embed="rId13"/>
                    <a:stretch>
                      <a:fillRect/>
                    </a:stretch>
                  </pic:blipFill>
                  <pic:spPr>
                    <a:xfrm>
                      <a:off x="0" y="0"/>
                      <a:ext cx="6035040" cy="4054793"/>
                    </a:xfrm>
                    <a:prstGeom prst="rect"/>
                  </pic:spPr>
                </pic:pic>
              </a:graphicData>
            </a:graphic>
          </wp:inline>
        </w:drawing>
      </w:r>
    </w:p>
    <w:p>
      <w:pPr>
        <w:pStyle w:val="Heading3"/>
      </w:pPr>
      <w:r>
        <w:t>VICR - Vicor Corporation</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VICR_BOLL.png"/>
                    <pic:cNvPicPr/>
                  </pic:nvPicPr>
                  <pic:blipFill>
                    <a:blip r:embed="rId14"/>
                    <a:stretch>
                      <a:fillRect/>
                    </a:stretch>
                  </pic:blipFill>
                  <pic:spPr>
                    <a:xfrm>
                      <a:off x="0" y="0"/>
                      <a:ext cx="6035040" cy="4054793"/>
                    </a:xfrm>
                    <a:prstGeom prst="rect"/>
                  </pic:spPr>
                </pic:pic>
              </a:graphicData>
            </a:graphic>
          </wp:inline>
        </w:drawing>
      </w:r>
    </w:p>
    <w:p>
      <w:pPr>
        <w:pStyle w:val="Heading3"/>
      </w:pPr>
      <w:r>
        <w:t>SNDK - Sandisk Corporation</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SNDK_BOLL.png"/>
                    <pic:cNvPicPr/>
                  </pic:nvPicPr>
                  <pic:blipFill>
                    <a:blip r:embed="rId15"/>
                    <a:stretch>
                      <a:fillRect/>
                    </a:stretch>
                  </pic:blipFill>
                  <pic:spPr>
                    <a:xfrm>
                      <a:off x="0" y="0"/>
                      <a:ext cx="6035040" cy="4054793"/>
                    </a:xfrm>
                    <a:prstGeom prst="rect"/>
                  </pic:spPr>
                </pic:pic>
              </a:graphicData>
            </a:graphic>
          </wp:inline>
        </w:drawing>
      </w:r>
    </w:p>
    <w:p>
      <w:pPr>
        <w:pStyle w:val="Heading3"/>
      </w:pPr>
      <w:r>
        <w:t>CBRS - Chain Bridge Bancorp</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CBRS_BOLL.png"/>
                    <pic:cNvPicPr/>
                  </pic:nvPicPr>
                  <pic:blipFill>
                    <a:blip r:embed="rId16"/>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