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报告日期：2026-09-15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上升趋势(9)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短线转弱</w:t>
            </w:r>
          </w:p>
        </w:tc>
        <w:tc>
          <w:tcPr>
            <w:tcW w:type="dxa" w:w="1440"/>
          </w:tcPr>
          <w:p>
            <w:r>
              <w:t>86.30</w:t>
            </w:r>
          </w:p>
        </w:tc>
        <w:tc>
          <w:tcPr>
            <w:tcW w:type="dxa" w:w="1440"/>
          </w:tcPr>
          <w:p>
            <w:r>
              <w:t>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6.25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58.77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80.92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20.49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95.29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当前价格：86.30</w:t>
      </w:r>
    </w:p>
    <w:p>
      <w:r>
        <w:t>趋势过滤：上升趋势；上升趋势评分：9</w:t>
      </w:r>
    </w:p>
    <w:p>
      <w:r>
        <w:t>当前状态：短线调整风险</w:t>
      </w:r>
    </w:p>
    <w:p>
      <w:r>
        <w:t>风险评分：总分 4；风险等级：短线转弱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RSI：RSI6=40.0；RSI12=48.7；RSI24=51.7；RSI空头排列；RSI12跌破50</w:t>
      </w:r>
    </w:p>
    <w:p>
      <w:pPr>
        <w:pStyle w:val="ListBullet"/>
      </w:pPr>
      <w:r>
        <w:t>MA20/50/200：MA20=90.29；MA50=75.41；MA200=85.74；跌破MA20</w:t>
      </w:r>
    </w:p>
    <w:p>
      <w:pPr>
        <w:pStyle w:val="ListBullet"/>
      </w:pPr>
      <w:r>
        <w:t>成交量变化：Volume/MA20=1.43倍；成交量为20日均量的1.43倍</w:t>
      </w:r>
    </w:p>
    <w:p>
      <w:r>
        <w:t>主要风险来源：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r>
        <w:t>判断：短线调整风险。MACD暂无明显转弱；KDJ暂无明显风险；RSI空头排列；RSI12跌破50。</w:t>
      </w:r>
    </w:p>
    <w:p>
      <w:r>
        <w:t>建议观察位置：当前价格 86.30；MA20 90.29；MA50 75.41；MA200 85.74。若后续有效跌破MA50，趋势进一步恶化的概率上升。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当前价格：6.25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RSI：RSI6=17.6；RSI12=31.1；RSI24=40.2；未进入过热见顶评分</w:t>
      </w:r>
    </w:p>
    <w:p>
      <w:pPr>
        <w:pStyle w:val="ListBullet"/>
      </w:pPr>
      <w:r>
        <w:t>MA20/50/200：MA20=7.85；MA50=7.87；MA200=7.33；MA50高于MA200</w:t>
      </w:r>
    </w:p>
    <w:p>
      <w:pPr>
        <w:pStyle w:val="ListBullet"/>
      </w:pPr>
      <w:r>
        <w:t>成交量变化：Volume/MA20=1.50倍；成交量为20日均量的1.50倍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6.25；MA20 7.85；MA50 7.87；MA200 7.33。若后续有效跌破MA50，趋势进一步恶化的概率上升。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当前价格：58.77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RSI：RSI6=37.4；RSI12=42.2；RSI24=44.4；未进入过热见顶评分</w:t>
      </w:r>
    </w:p>
    <w:p>
      <w:pPr>
        <w:pStyle w:val="ListBullet"/>
      </w:pPr>
      <w:r>
        <w:t>MA20/50/200：MA20=61.99；MA50=64.10；MA200=81.60；未满足上升趋势过滤条件</w:t>
      </w:r>
    </w:p>
    <w:p>
      <w:pPr>
        <w:pStyle w:val="ListBullet"/>
      </w:pPr>
      <w:r>
        <w:t>成交量变化：Volume/MA20=0.78倍；成交量为20日均量的0.78倍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58.77；MA20 61.99；MA50 64.10；MA200 81.60。若后续有效跌破MA50，趋势进一步恶化的概率上升。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当前价格：80.92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RSI：RSI6=33.4；RSI12=41.6；RSI24=45.6；未进入过热见顶评分</w:t>
      </w:r>
    </w:p>
    <w:p>
      <w:pPr>
        <w:pStyle w:val="ListBullet"/>
      </w:pPr>
      <w:r>
        <w:t>MA20/50/200：MA20=87.67；MA50=85.44；MA200=91.98；MA20高于MA50</w:t>
      </w:r>
    </w:p>
    <w:p>
      <w:pPr>
        <w:pStyle w:val="ListBullet"/>
      </w:pPr>
      <w:r>
        <w:t>成交量变化：Volume/MA20=0.72倍；成交量为20日均量的0.72倍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80.92；MA20 87.67；MA50 85.44；MA200 91.98。若后续有效跌破MA50，趋势进一步恶化的概率上升。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数据提示：历史数据不足300个交易日，当前仅278个交易日；部分长期均线可能为空。</w:t>
      </w:r>
    </w:p>
    <w:p>
      <w:r>
        <w:t>当前价格：20.49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RSI：RSI6=33.8；RSI12=38.5；RSI24=42.1；未进入过热见顶评分</w:t>
      </w:r>
    </w:p>
    <w:p>
      <w:pPr>
        <w:pStyle w:val="ListBullet"/>
      </w:pPr>
      <w:r>
        <w:t>MA20/50/200：MA20=22.24；MA50=22.52；MA200=27.64；未满足上升趋势过滤条件</w:t>
      </w:r>
    </w:p>
    <w:p>
      <w:pPr>
        <w:pStyle w:val="ListBullet"/>
      </w:pPr>
      <w:r>
        <w:t>成交量变化：Volume/MA20=1.24倍；成交量为20日均量的1.24倍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20.49；MA20 22.24；MA50 22.52；MA200 27.64。若后续有效跌破MA50，趋势进一步恶化的概率上升。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当前价格：95.29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RSI：RSI6=29.3；RSI12=37.7；RSI24=43.0；未进入过热见顶评分</w:t>
      </w:r>
    </w:p>
    <w:p>
      <w:pPr>
        <w:pStyle w:val="ListBullet"/>
      </w:pPr>
      <w:r>
        <w:t>MA20/50/200：MA20=110.04；MA50=113.67；MA200=103.97；MA50高于MA200</w:t>
      </w:r>
    </w:p>
    <w:p>
      <w:pPr>
        <w:pStyle w:val="ListBullet"/>
      </w:pPr>
      <w:r>
        <w:t>成交量变化：Volume/MA20=0.60倍；成交量为20日均量的0.60倍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95.29；MA20 110.04；MA50 113.67；MA200 103.97。若后续有效跌破MA50，趋势进一步恶化的概率上升。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当前价格：13.87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RSI：RSI6=25.5；RSI12=35.8；RSI24=41.1；未进入过热见顶评分</w:t>
      </w:r>
    </w:p>
    <w:p>
      <w:pPr>
        <w:pStyle w:val="ListBullet"/>
      </w:pPr>
      <w:r>
        <w:t>MA20/50/200：MA20=15.84；MA50=15.32；MA200=19.95；MA20高于MA50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13.87；MA20 15.84；MA50 15.32；MA200 19.95。若后续有效跌破MA50，趋势进一步恶化的概率上升。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RSI：RSI6=31.3；RSI12=38.3；RSI24=43.4；未进入过热见顶评分</w:t>
      </w:r>
    </w:p>
    <w:p>
      <w:pPr>
        <w:pStyle w:val="ListBullet"/>
      </w:pPr>
      <w:r>
        <w:t>MA20/50/200：MA20=7.89；MA50=7.96；MA200=9.51；未满足上升趋势过滤条件</w:t>
      </w:r>
    </w:p>
    <w:p>
      <w:pPr>
        <w:pStyle w:val="ListBullet"/>
      </w:pPr>
      <w:r>
        <w:t>成交量变化：Volume/MA20=1.10倍；成交量为20日均量的1.10倍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7.24；MA20 7.89；MA50 7.96；MA200 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