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报告日期：2026-09-15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80.92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6.25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58.77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20.49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95.29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13.87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86.30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7.24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CRWV</w:t>
      </w:r>
    </w:p>
    <w:p>
      <w:r>
        <w:t>当前价格：80.92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指标摘要：RSI6/RSI12=33.4/41.6；K/D/J=27.0/37.7/5.4；偏离MA20=-7.70%；近5日涨幅=-18.94%；量能=0.72倍。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80.92；MA5 87.39；MA10 87.35；MA20 87.67。若跌破MA5，短线反弹降温；若跌破MA20，反弹结构可能明显转弱。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当前价格：6.25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指标摘要：RSI6/RSI12=17.6/31.1；K/D/J=10.9/18.1/-3.5；偏离MA20=-20.41%；近5日涨幅=-19.46%；量能=1.50倍。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6.25；MA5 7.01；MA10 7.29；MA20 7.85。若跌破MA5，短线反弹降温；若跌破MA20，反弹结构可能明显转弱。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当前价格：58.77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指标摘要：RSI6/RSI12=37.4/42.2；K/D/J=34.0/42.1/17.9；偏离MA20=-5.19%；近5日涨幅=-11.12%；量能=0.78倍。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58.77；MA5 60.19；MA10 60.97；MA20 61.99。若跌破MA5，短线反弹降温；若跌破MA20，反弹结构可能明显转弱。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当前价格：20.49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指标摘要：RSI6/RSI12=33.8/38.5；K/D/J=22.4/28.8/9.6；偏离MA20=-7.86%；近5日涨幅=-10.52%；量能=1.24倍。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20.49；MA5 21.14；MA10 21.31；MA20 22.24。若跌破MA5，短线反弹降温；若跌破MA20，反弹结构可能明显转弱。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当前价格：95.29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指标摘要：RSI6/RSI12=29.3/37.7；K/D/J=17.9/27.1/-0.7；偏离MA20=-13.41%；近5日涨幅=-14.58%；量能=0.60倍。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95.29；MA5 101.53；MA10 103.16；MA20 110.04。若跌破MA5，短线反弹降温；若跌破MA20，反弹结构可能明显转弱。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当前价格：13.87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指标摘要：RSI6/RSI12=25.5/35.8；K/D/J=13.8/17.3/6.9；偏离MA20=-12.43%；近5日涨幅=-11.54%；量能=0.98倍。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13.87；MA5 14.33；MA10 14.64；MA20 15.84。若跌破MA5，短线反弹降温；若跌破MA20，反弹结构可能明显转弱。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当前价格：86.30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指标摘要：RSI6/RSI12=40.0/48.7；K/D/J=36.4/48.9/11.5；偏离MA20=-4.42%；近5日涨幅=-10.27%；量能=1.43倍。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86.30；MA5 91.53；MA10 93.72；MA20 90.29。若跌破MA5，短线反弹降温；若跌破MA20，反弹结构可能明显转弱。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当前价格：7.24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指标摘要：RSI6/RSI12=31.3/38.3；K/D/J=24.1/23.4/25.6；偏离MA20=-8.25%；近5日涨幅=-4.99%；量能=1.10倍。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7.24；MA5 7.25；MA10 7.38；MA20 7.89。若跌破MA5，短线反弹降温；若跌破MA20，反弹结构可能明显转弱。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