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7.30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43.07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60.74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19.87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79.19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11.68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79.99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6.88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当前价格：7.30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RSI：RSI6=58.1；RSI12=49.7；RSI24=48.2；未进入过热见顶评分</w:t>
      </w:r>
    </w:p>
    <w:p>
      <w:pPr>
        <w:pStyle w:val="ListBullet"/>
      </w:pPr>
      <w:r>
        <w:t>MA20/50/200：MA20=7.61；MA50=7.61；MA200=8.17；未满足上升趋势过滤条件</w:t>
      </w:r>
    </w:p>
    <w:p>
      <w:pPr>
        <w:pStyle w:val="ListBullet"/>
      </w:pPr>
      <w:r>
        <w:t>成交量变化：Volume/MA20=0.49倍；成交量为20日均量的0.49倍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7.30；MA20 7.61；MA50 7.61；MA200 8.17。若后续有效跌破MA50，趋势进一步恶化的概率上升。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当前价格：43.07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RSI：RSI6=50.5；RSI12=39.6；RSI24=39.8；未进入过热见顶评分</w:t>
      </w:r>
    </w:p>
    <w:p>
      <w:pPr>
        <w:pStyle w:val="ListBullet"/>
      </w:pPr>
      <w:r>
        <w:t>MA20/50/200：MA20=47.18；MA50=55.50；MA200=77.77；未满足上升趋势过滤条件</w:t>
      </w:r>
    </w:p>
    <w:p>
      <w:pPr>
        <w:pStyle w:val="ListBullet"/>
      </w:pPr>
      <w:r>
        <w:t>成交量变化：Volume/MA20=0.72倍；成交量为20日均量的0.72倍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43.07；MA20 47.18；MA50 55.50；MA200 77.77。若后续有效跌破MA50，趋势进一步恶化的概率上升。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当前价格：60.74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RSI：RSI6=43.8；RSI12=38.1；RSI24=39.8；未进入过热见顶评分</w:t>
      </w:r>
    </w:p>
    <w:p>
      <w:pPr>
        <w:pStyle w:val="ListBullet"/>
      </w:pPr>
      <w:r>
        <w:t>MA20/50/200：MA20=70.51；MA50=80.15；MA200=91.52；未满足上升趋势过滤条件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60.74；MA20 70.51；MA50 80.15；MA200 91.52。若后续有效跌破MA50，趋势进一步恶化的概率上升。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当前价格：19.87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RSI：RSI6=67.8；RSI12=52.7；RSI24=47.2；未进入过热见顶评分</w:t>
      </w:r>
    </w:p>
    <w:p>
      <w:pPr>
        <w:pStyle w:val="ListBullet"/>
      </w:pPr>
      <w:r>
        <w:t>MA20/50/200：MA20=19.22；MA50=20.98；MA200=27.26；收盘价站上MA20</w:t>
      </w:r>
    </w:p>
    <w:p>
      <w:pPr>
        <w:pStyle w:val="ListBullet"/>
      </w:pPr>
      <w:r>
        <w:t>成交量变化：Volume/MA20=0.68倍；成交量为20日均量的0.68倍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19.87；MA20 19.22；MA50 20.98；MA200 27.26。若后续有效跌破MA50，趋势进一步恶化的概率上升。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当前价格：79.19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RSI：RSI6=48.0；RSI12=42.1；RSI24=42.6；未进入过热见顶评分</w:t>
      </w:r>
    </w:p>
    <w:p>
      <w:pPr>
        <w:pStyle w:val="ListBullet"/>
      </w:pPr>
      <w:r>
        <w:t>MA20/50/200：MA20=91.38；MA50=99.96；MA200=114.01；未满足上升趋势过滤条件</w:t>
      </w:r>
    </w:p>
    <w:p>
      <w:pPr>
        <w:pStyle w:val="ListBullet"/>
      </w:pPr>
      <w:r>
        <w:t>成交量变化：Volume/MA20=0.80倍；成交量为20日均量的0.80倍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79.19；MA20 91.38；MA50 99.96；MA200 114.01。若后续有效跌破MA50，趋势进一步恶化的概率上升。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当前价格：11.68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RSI：RSI6=57.7；RSI12=44.4；RSI24=42.1；未进入过热见顶评分</w:t>
      </w:r>
    </w:p>
    <w:p>
      <w:pPr>
        <w:pStyle w:val="ListBullet"/>
      </w:pPr>
      <w:r>
        <w:t>MA20/50/200：MA20=12.11；MA50=14.01；MA200=19.81；未满足上升趋势过滤条件</w:t>
      </w:r>
    </w:p>
    <w:p>
      <w:pPr>
        <w:pStyle w:val="ListBullet"/>
      </w:pPr>
      <w:r>
        <w:t>成交量变化：Volume/MA20=0.93倍；成交量为20日均量的0.93倍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11.68；MA20 12.11；MA50 14.01；MA200 19.81。若后续有效跌破MA50，趋势进一步恶化的概率上升。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当前价格：79.99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RSI：RSI6=38.2；RSI12=43.5；RSI24=47.2；未进入过热见顶评分</w:t>
      </w:r>
    </w:p>
    <w:p>
      <w:pPr>
        <w:pStyle w:val="ListBullet"/>
      </w:pPr>
      <w:r>
        <w:t>MA20/50/200：MA20=83.22；MA50=87.49；MA200=86.12；MA50高于MA200；MA50斜率向上；近60日收益为正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79.99；MA20 83.22；MA50 87.49；MA200 86.12。若后续有效跌破MA50，趋势进一步恶化的概率上升。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当前价格：6.88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RSI：RSI6=69.7；RSI12=54.7；RSI24=47.6；未进入过热见顶评分</w:t>
      </w:r>
    </w:p>
    <w:p>
      <w:pPr>
        <w:pStyle w:val="ListBullet"/>
      </w:pPr>
      <w:r>
        <w:t>MA20/50/200：MA20=6.60；MA50=7.22；MA200=9.07；收盘价站上MA20</w:t>
      </w:r>
    </w:p>
    <w:p>
      <w:pPr>
        <w:pStyle w:val="ListBullet"/>
      </w:pPr>
      <w:r>
        <w:t>成交量变化：Volume/MA20=0.92倍；成交量为20日均量的0.92倍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6.88；MA20 6.60；MA50 7.22；MA200 9.07。若后续有效跌破MA50，趋势进一步恶化的概率上升。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