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报告日期：2026-10-29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9.19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1.75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BB</w:t>
      </w:r>
    </w:p>
    <w:p>
      <w:r>
        <w:t>基础信息：日期 2026-10-29；当前价格 9.19；信号等级 C. 观察信号。</w:t>
      </w:r>
    </w:p>
    <w:p>
      <w:r>
        <w:t>BOLL：上轨 9.77；中轨 8.87；下轨 7.97；Bandwidth 20.31%。</w:t>
      </w:r>
    </w:p>
    <w:p>
      <w:r>
        <w:t>MACD：DIF 0.1988；DEA 0.1372；MACD柱 0.0616；是否死叉：是。</w:t>
      </w:r>
    </w:p>
    <w:p>
      <w:r>
        <w:t>RSI：RSI6 54.53；RSI12 54.54；RSI24 53.37。</w:t>
      </w:r>
    </w:p>
    <w:p>
      <w:r>
        <w:t>均线：MA20 8.87；MA50 8.42；MA200 N/A。</w:t>
      </w:r>
    </w:p>
    <w:p>
      <w:r>
        <w:t>成交量：当日成交量 12899400；20日平均成交量 13414930；成交量倍数 0.96。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2026-10-29；当前价格 1.75；信号等级 C. 观察信号。</w:t>
      </w:r>
    </w:p>
    <w:p>
      <w:r>
        <w:t>BOLL：上轨 1.75；中轨 1.36；下轨 0.98；Bandwidth 56.08%。</w:t>
      </w:r>
    </w:p>
    <w:p>
      <w:r>
        <w:t>MACD：DIF 0.1604；DEA 0.1230；MACD柱 0.0374；是否死叉：是。</w:t>
      </w:r>
    </w:p>
    <w:p>
      <w:r>
        <w:t>RSI：RSI6 79.01；RSI12 70.11；RSI24 65.96。</w:t>
      </w:r>
    </w:p>
    <w:p>
      <w:r>
        <w:t>均线：MA20 1.36；MA50 1.03；MA200 N/A。</w:t>
      </w:r>
    </w:p>
    <w:p>
      <w:r>
        <w:t>成交量：当日成交量 8542300；20日平均成交量 10959265；成交量倍数 0.78。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8.42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1.03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