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美股技术风险监控报告</w:t>
      </w:r>
    </w:p>
    <w:p>
      <w:pPr>
        <w:jc w:val="center"/>
      </w:pPr>
      <w:r>
        <w:t>报告日期：2026-10-16</w:t>
      </w:r>
    </w:p>
    <w:p>
      <w:pPr>
        <w:pStyle w:val="Heading2"/>
      </w:pPr>
      <w:r>
        <w:t>一、总体风险排名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趋势状态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风险评分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当前价格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440"/>
          </w:tcPr>
          <w:p>
            <w:r>
              <w:t>OPTX</w:t>
            </w:r>
          </w:p>
        </w:tc>
        <w:tc>
          <w:tcPr>
            <w:tcW w:type="dxa" w:w="1440"/>
          </w:tcPr>
          <w:p>
            <w:r>
              <w:t>趋势修复/震荡偏强(4)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6.52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ASTS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40.66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CRWV</w:t>
            </w:r>
          </w:p>
        </w:tc>
        <w:tc>
          <w:tcPr>
            <w:tcW w:type="dxa" w:w="1440"/>
          </w:tcPr>
          <w:p>
            <w:r>
              <w:t>非上升趋势(1)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61.39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FLY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16.75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AAOI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75.57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LUNR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10.78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CRCL</w:t>
            </w:r>
          </w:p>
        </w:tc>
        <w:tc>
          <w:tcPr>
            <w:tcW w:type="dxa" w:w="1440"/>
          </w:tcPr>
          <w:p>
            <w:r>
              <w:t>趋势修复/震荡偏强(4)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82.22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ONDS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6.04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</w:tbl>
    <w:p/>
    <w:p>
      <w:pPr>
        <w:pStyle w:val="Heading2"/>
      </w:pPr>
      <w:r>
        <w:t>二、逐股票分析</w:t>
      </w:r>
    </w:p>
    <w:p>
      <w:pPr>
        <w:pStyle w:val="Heading3"/>
      </w:pPr>
      <w:r>
        <w:t>OPTX</w:t>
      </w:r>
    </w:p>
    <w:p>
      <w:r>
        <w:t>当前价格：6.52</w:t>
      </w:r>
    </w:p>
    <w:p>
      <w:r>
        <w:t>趋势过滤：趋势修复/震荡偏强；上升趋势评分：4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RSI：RSI6=22.0；RSI12=35.9；RSI24=42.7；未进入过热见顶评分</w:t>
      </w:r>
    </w:p>
    <w:p>
      <w:pPr>
        <w:pStyle w:val="ListBullet"/>
      </w:pPr>
      <w:r>
        <w:t>MA20/50/200：MA20=7.91；MA50=7.89；MA200=8.02；MA20高于MA50；MA20斜率向上；MA50斜率向上</w:t>
      </w:r>
    </w:p>
    <w:p>
      <w:pPr>
        <w:pStyle w:val="ListBullet"/>
      </w:pPr>
      <w:r>
        <w:t>成交量变化：Volume/MA20=1.12倍；成交量为20日均量的1.12倍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6.52；MA20 7.91；MA50 7.89；MA200 8.02。若后续有效跌破MA50，趋势进一步恶化的概率上升。</w:t>
      </w:r>
    </w:p>
    <w:p>
      <w:pPr>
        <w:pStyle w:val="Heading3"/>
      </w:pPr>
      <w:r>
        <w:t>ASTS</w:t>
      </w:r>
    </w:p>
    <w:p>
      <w:r>
        <w:t>当前价格：40.66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RSI：RSI6=20.7；RSI12=27.3；RSI24=35.3；未进入过热见顶评分</w:t>
      </w:r>
    </w:p>
    <w:p>
      <w:pPr>
        <w:pStyle w:val="ListBullet"/>
      </w:pPr>
      <w:r>
        <w:t>MA20/50/200：MA20=55.95；MA50=60.79；MA200=79.97；未满足上升趋势过滤条件</w:t>
      </w:r>
    </w:p>
    <w:p>
      <w:pPr>
        <w:pStyle w:val="ListBullet"/>
      </w:pPr>
      <w:r>
        <w:t>成交量变化：Volume/MA20=1.03倍；成交量为20日均量的1.03倍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40.66；MA20 55.95；MA50 60.79；MA200 79.97。若后续有效跌破MA50，趋势进一步恶化的概率上升。</w:t>
      </w:r>
    </w:p>
    <w:p>
      <w:pPr>
        <w:pStyle w:val="Heading3"/>
      </w:pPr>
      <w:r>
        <w:t>CRWV</w:t>
      </w:r>
    </w:p>
    <w:p>
      <w:r>
        <w:t>当前价格：61.39</w:t>
      </w:r>
    </w:p>
    <w:p>
      <w:r>
        <w:t>趋势过滤：非上升趋势；上升趋势评分：1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RSI：RSI6=19.4；RSI12=27.4；RSI24=36.4；未进入过热见顶评分</w:t>
      </w:r>
    </w:p>
    <w:p>
      <w:pPr>
        <w:pStyle w:val="ListBullet"/>
      </w:pPr>
      <w:r>
        <w:t>MA20/50/200：MA20=82.96；MA50=87.03；MA200=92.44；MA50斜率向上</w:t>
      </w:r>
    </w:p>
    <w:p>
      <w:pPr>
        <w:pStyle w:val="ListBullet"/>
      </w:pPr>
      <w:r>
        <w:t>成交量变化：Volume/MA20=2.40倍；成交量为20日均量的2.40倍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61.39；MA20 82.96；MA50 87.03；MA200 92.44。若后续有效跌破MA50，趋势进一步恶化的概率上升。</w:t>
      </w:r>
    </w:p>
    <w:p>
      <w:pPr>
        <w:pStyle w:val="Heading3"/>
      </w:pPr>
      <w:r>
        <w:t>FLY</w:t>
      </w:r>
    </w:p>
    <w:p>
      <w:r>
        <w:t>当前价格：16.75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RSI：RSI6=20.7；RSI12=29.0；RSI24=37.0；未进入过热见顶评分</w:t>
      </w:r>
    </w:p>
    <w:p>
      <w:pPr>
        <w:pStyle w:val="ListBullet"/>
      </w:pPr>
      <w:r>
        <w:t>MA20/50/200：MA20=21.44；MA50=22.45；MA200=27.65；未满足上升趋势过滤条件</w:t>
      </w:r>
    </w:p>
    <w:p>
      <w:pPr>
        <w:pStyle w:val="ListBullet"/>
      </w:pPr>
      <w:r>
        <w:t>成交量变化：Volume/MA20=0.93倍；成交量为20日均量的0.93倍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16.75；MA20 21.44；MA50 22.45；MA200 27.65。若后续有效跌破MA50，趋势进一步恶化的概率上升。</w:t>
      </w:r>
    </w:p>
    <w:p>
      <w:pPr>
        <w:pStyle w:val="Heading3"/>
      </w:pPr>
      <w:r>
        <w:t>AAOI</w:t>
      </w:r>
    </w:p>
    <w:p>
      <w:r>
        <w:t>当前价格：75.57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RSI：RSI6=19.3；RSI12=30.8；RSI24=38.8；未进入过热见顶评分</w:t>
      </w:r>
    </w:p>
    <w:p>
      <w:pPr>
        <w:pStyle w:val="ListBullet"/>
      </w:pPr>
      <w:r>
        <w:t>MA20/50/200：MA20=103.63；MA50=110.99；MA200=112.22；未满足上升趋势过滤条件</w:t>
      </w:r>
    </w:p>
    <w:p>
      <w:pPr>
        <w:pStyle w:val="ListBullet"/>
      </w:pPr>
      <w:r>
        <w:t>成交量变化：Volume/MA20=1.32倍；成交量为20日均量的1.32倍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75.57；MA20 103.63；MA50 110.99；MA200 112.22。若后续有效跌破MA50，趋势进一步恶化的概率上升。</w:t>
      </w:r>
    </w:p>
    <w:p>
      <w:pPr>
        <w:pStyle w:val="Heading3"/>
      </w:pPr>
      <w:r>
        <w:t>LUNR</w:t>
      </w:r>
    </w:p>
    <w:p>
      <w:r>
        <w:t>当前价格：10.78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RSI：RSI6=22.0；RSI12=29.2；RSI24=36.5；未进入过热见顶评分</w:t>
      </w:r>
    </w:p>
    <w:p>
      <w:pPr>
        <w:pStyle w:val="ListBullet"/>
      </w:pPr>
      <w:r>
        <w:t>MA20/50/200：MA20=14.02；MA50=15.24；MA200=20.14；未满足上升趋势过滤条件</w:t>
      </w:r>
    </w:p>
    <w:p>
      <w:pPr>
        <w:pStyle w:val="ListBullet"/>
      </w:pPr>
      <w:r>
        <w:t>成交量变化：Volume/MA20=0.82倍；成交量为20日均量的0.82倍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10.78；MA20 14.02；MA50 15.24；MA200 20.14。若后续有效跌破MA50，趋势进一步恶化的概率上升。</w:t>
      </w:r>
    </w:p>
    <w:p>
      <w:pPr>
        <w:pStyle w:val="Heading3"/>
      </w:pPr>
      <w:r>
        <w:t>CRCL</w:t>
      </w:r>
    </w:p>
    <w:p>
      <w:r>
        <w:t>当前价格：82.22</w:t>
      </w:r>
    </w:p>
    <w:p>
      <w:r>
        <w:t>趋势过滤：趋势修复/震荡偏强；上升趋势评分：4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RSI：RSI6=45.7；RSI12=46.4；RSI24=48.7；未进入过热见顶评分</w:t>
      </w:r>
    </w:p>
    <w:p>
      <w:pPr>
        <w:pStyle w:val="ListBullet"/>
      </w:pPr>
      <w:r>
        <w:t>MA20/50/200：MA20=85.46；MA50=85.40；MA200=86.08；MA20高于MA50；MA50斜率向上；近60日收益为正</w:t>
      </w:r>
    </w:p>
    <w:p>
      <w:pPr>
        <w:pStyle w:val="ListBullet"/>
      </w:pPr>
      <w:r>
        <w:t>成交量变化：Volume/MA20=1.05倍；成交量为20日均量的1.05倍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82.22；MA20 85.46；MA50 85.40；MA200 86.08。若后续有效跌破MA50，趋势进一步恶化的概率上升。</w:t>
      </w:r>
    </w:p>
    <w:p>
      <w:pPr>
        <w:pStyle w:val="Heading3"/>
      </w:pPr>
      <w:r>
        <w:t>ONDS</w:t>
      </w:r>
    </w:p>
    <w:p>
      <w:r>
        <w:t>当前价格：6.04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RSI：RSI6=21.7；RSI12=27.8；RSI24=36.4；未进入过热见顶评分</w:t>
      </w:r>
    </w:p>
    <w:p>
      <w:pPr>
        <w:pStyle w:val="ListBullet"/>
      </w:pPr>
      <w:r>
        <w:t>MA20/50/200：MA20=7.10；MA50=7.74；MA200=9.35；未满足上升趋势过滤条件</w:t>
      </w:r>
    </w:p>
    <w:p>
      <w:pPr>
        <w:pStyle w:val="ListBullet"/>
      </w:pPr>
      <w:r>
        <w:t>成交量变化：Volume/MA20=0.66倍；成交量为20日均量的0.66倍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6.04；MA20 7.10；MA50 7.74；MA200 9.35。若后续有效跌破MA50，趋势进一步恶化的概率上升。</w:t>
      </w:r>
    </w:p>
    <w:p>
      <w:r>
        <w:t>本报告仅用于技术指标监控和公开行情数据整理，不构成任何投资建议。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