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报告日期：2026-10-16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82.22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6.52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40.66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61.39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16.75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75.57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10.78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6.04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当前价格：82.22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指标摘要：RSI6/RSI12=45.7/46.4；K/D/J=54.4/45.2/73.0；偏离MA20=-3.79%；近5日涨幅=-2.71%；量能=1.05倍。</w:t>
      </w:r>
    </w:p>
    <w:p>
      <w:r>
        <w:t>反弹成立条件：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82.22；MA5 83.38；MA10 83.05；MA20 85.46。若跌破MA5，短线反弹降温；若跌破MA20，反弹结构可能明显转弱。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当前价格：6.52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指标摘要：RSI6/RSI12=22.0/35.9；K/D/J=13.5/25.4/-10.2；偏离MA20=-17.60%；近5日涨幅=-19.41%；量能=1.12倍。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6.52；MA5 7.17；MA10 8.07；MA20 7.91。若跌破MA5，短线反弹降温；若跌破MA20，反弹结构可能明显转弱。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当前价格：40.66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指标摘要：RSI6/RSI12=20.7/27.3；K/D/J=11.1/17.4/-1.4；偏离MA20=-27.33%；近5日涨幅=-20.22%；量能=1.03倍。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40.66；MA5 45.16；MA10 51.59；MA20 55.95。若跌破MA5，短线反弹降温；若跌破MA20，反弹结构可能明显转弱。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当前价格：61.39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指标摘要：RSI6/RSI12=19.4/27.4；K/D/J=15.2/21.7/2.2；偏离MA20=-26.00%；近5日涨幅=-25.21%；量能=2.40倍。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61.39；MA5 70.99；MA10 78.62；MA20 82.96。若跌破MA5，短线反弹降温；若跌破MA20，反弹结构可能明显转弱。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当前价格：16.75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指标摘要：RSI6/RSI12=20.7/29.0；K/D/J=10.8/12.7/6.9；偏离MA20=-21.86%；近5日涨幅=-16.25%；量能=0.93倍。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16.75；MA5 17.86；MA10 19.69；MA20 21.44。若跌破MA5，短线反弹降温；若跌破MA20，反弹结构可能明显转弱。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当前价格：75.57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指标摘要：RSI6/RSI12=19.3/30.8；K/D/J=12.2/25.4/-14.2；偏离MA20=-27.08%；近5日涨幅=-31.07%；量能=1.32倍。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75.57；MA5 88.80；MA10 103.38；MA20 103.63。若跌破MA5，短线反弹降温；若跌破MA20，反弹结构可能明显转弱。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当前价格：10.78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指标摘要：RSI6/RSI12=22.0/29.2；K/D/J=13.3/13.9/12.0；偏离MA20=-23.09%；近5日涨幅=-18.27%；量能=0.82倍。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10.78；MA5 11.68；MA10 12.91；MA20 14.02。若跌破MA5，短线反弹降温；若跌破MA20，反弹结构可能明显转弱。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当前价格：6.04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指标摘要：RSI6/RSI12=21.7/27.8；K/D/J=15.4/15.5/15.1；偏离MA20=-14.99%；近5日涨幅=-10.25%；量能=0.66倍。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6.04；MA5 6.38；MA10 6.75；MA20 7.10。若跌破MA5，短线反弹降温；若跌破MA20，反弹结构可能明显转弱。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