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- 2026-09-14</w:t>
      </w:r>
    </w:p>
    <w:p>
      <w:pPr>
        <w:pStyle w:val="ListBullet"/>
      </w:pPr>
      <w:r>
        <w:t>生成时间（美东）：2026-09-14 22:20:59 EDT</w:t>
      </w:r>
    </w:p>
    <w:p>
      <w:pPr>
        <w:pStyle w:val="ListBullet"/>
      </w:pPr>
      <w:r>
        <w:t>最新可用交易日：2026-09-14</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INSP</w:t>
            </w:r>
          </w:p>
        </w:tc>
        <w:tc>
          <w:tcPr>
            <w:tcW w:type="dxa" w:w="960"/>
          </w:tcPr>
          <w:p>
            <w:r>
              <w:t>Inspire Medical Systems, Inc.</w:t>
            </w:r>
          </w:p>
        </w:tc>
        <w:tc>
          <w:tcPr>
            <w:tcW w:type="dxa" w:w="960"/>
          </w:tcPr>
          <w:p>
            <w:r>
              <w:t>A 强信号</w:t>
            </w:r>
          </w:p>
        </w:tc>
        <w:tc>
          <w:tcPr>
            <w:tcW w:type="dxa" w:w="960"/>
          </w:tcPr>
          <w:p>
            <w:r>
              <w:t>布林带向上开口（最近5天）；成交量放大；放量突破上轨-强；连续2日站上上轨</w:t>
            </w:r>
          </w:p>
        </w:tc>
        <w:tc>
          <w:tcPr>
            <w:tcW w:type="dxa" w:w="960"/>
          </w:tcPr>
          <w:p>
            <w:r>
              <w:t>突破上轨</w:t>
            </w:r>
          </w:p>
        </w:tc>
        <w:tc>
          <w:tcPr>
            <w:tcW w:type="dxa" w:w="960"/>
          </w:tcPr>
          <w:p>
            <w:r>
              <w:t>26.65%</w:t>
            </w:r>
          </w:p>
        </w:tc>
        <w:tc>
          <w:tcPr>
            <w:tcW w:type="dxa" w:w="960"/>
          </w:tcPr>
          <w:p>
            <w:r>
              <w:t>1.162</w:t>
            </w:r>
          </w:p>
        </w:tc>
        <w:tc>
          <w:tcPr>
            <w:tcW w:type="dxa" w:w="960"/>
          </w:tcPr>
          <w:p>
            <w:r>
              <w:t>1.88</w:t>
            </w:r>
          </w:p>
        </w:tc>
        <w:tc>
          <w:tcPr>
            <w:tcW w:type="dxa" w:w="960"/>
          </w:tcPr>
          <w:p>
            <w:r>
              <w:t>股价放量突破布林线上轨，说明短线多头动能较强，可能进入强势上涨阶段，但也要注意短线过热和回</w:t>
            </w:r>
          </w:p>
        </w:tc>
      </w:tr>
      <w:tr>
        <w:tc>
          <w:tcPr>
            <w:tcW w:type="dxa" w:w="960"/>
          </w:tcPr>
          <w:p>
            <w:r>
              <w:t>GOOG</w:t>
            </w:r>
          </w:p>
        </w:tc>
        <w:tc>
          <w:tcPr>
            <w:tcW w:type="dxa" w:w="960"/>
          </w:tcPr>
          <w:p>
            <w:r>
              <w:t>Alphabet Inc.</w:t>
            </w:r>
          </w:p>
        </w:tc>
        <w:tc>
          <w:tcPr>
            <w:tcW w:type="dxa" w:w="960"/>
          </w:tcPr>
          <w:p>
            <w:r>
              <w:t>A 强信号</w:t>
            </w:r>
          </w:p>
        </w:tc>
        <w:tc>
          <w:tcPr>
            <w:tcW w:type="dxa" w:w="960"/>
          </w:tcPr>
          <w:p>
            <w:r>
              <w:t>中轨反弹并接近上轨；成交量放大；下轨反弹：处于中轨与上轨之间；成交量温和改善</w:t>
            </w:r>
          </w:p>
        </w:tc>
        <w:tc>
          <w:tcPr>
            <w:tcW w:type="dxa" w:w="960"/>
          </w:tcPr>
          <w:p>
            <w:r>
              <w:t>靠近上轨</w:t>
            </w:r>
          </w:p>
        </w:tc>
        <w:tc>
          <w:tcPr>
            <w:tcW w:type="dxa" w:w="960"/>
          </w:tcPr>
          <w:p>
            <w:r>
              <w:t>5.54%</w:t>
            </w:r>
          </w:p>
        </w:tc>
        <w:tc>
          <w:tcPr>
            <w:tcW w:type="dxa" w:w="960"/>
          </w:tcPr>
          <w:p>
            <w:r>
              <w:t>0.904</w:t>
            </w:r>
          </w:p>
        </w:tc>
        <w:tc>
          <w:tcPr>
            <w:tcW w:type="dxa" w:w="960"/>
          </w:tcPr>
          <w:p>
            <w:r>
              <w:t>1.41</w:t>
            </w:r>
          </w:p>
        </w:tc>
        <w:tc>
          <w:tcPr>
            <w:tcW w:type="dxa" w:w="960"/>
          </w:tcPr>
          <w:p>
            <w:r>
              <w:t>股价从中轨附近反弹并接近上轨，且成交量放大，说明短线修复增强；若后续能维持中轨支撑并突破上</w:t>
            </w:r>
          </w:p>
        </w:tc>
      </w:tr>
      <w:tr>
        <w:tc>
          <w:tcPr>
            <w:tcW w:type="dxa" w:w="960"/>
          </w:tcPr>
          <w:p>
            <w:r>
              <w:t>ORCL</w:t>
            </w:r>
          </w:p>
        </w:tc>
        <w:tc>
          <w:tcPr>
            <w:tcW w:type="dxa" w:w="960"/>
          </w:tcPr>
          <w:p>
            <w:r>
              <w:t>Oracle</w:t>
            </w:r>
          </w:p>
        </w:tc>
        <w:tc>
          <w:tcPr>
            <w:tcW w:type="dxa" w:w="960"/>
          </w:tcPr>
          <w:p>
            <w:r>
              <w:t>C 观察信号</w:t>
            </w:r>
          </w:p>
        </w:tc>
        <w:tc>
          <w:tcPr>
            <w:tcW w:type="dxa" w:w="960"/>
          </w:tcPr>
          <w:p>
            <w:r>
              <w:t>弱收口：Bandwidth连续12天维持低于近8个月30%分位；中轨附近窄幅震荡；低位形态</w:t>
            </w:r>
          </w:p>
        </w:tc>
        <w:tc>
          <w:tcPr>
            <w:tcW w:type="dxa" w:w="960"/>
          </w:tcPr>
          <w:p>
            <w:r>
              <w:t>中轨附近</w:t>
            </w:r>
          </w:p>
        </w:tc>
        <w:tc>
          <w:tcPr>
            <w:tcW w:type="dxa" w:w="960"/>
          </w:tcPr>
          <w:p>
            <w:r>
              <w:t>16.60%</w:t>
            </w:r>
          </w:p>
        </w:tc>
        <w:tc>
          <w:tcPr>
            <w:tcW w:type="dxa" w:w="960"/>
          </w:tcPr>
          <w:p>
            <w:r>
              <w:t>0.326</w:t>
            </w:r>
          </w:p>
        </w:tc>
        <w:tc>
          <w:tcPr>
            <w:tcW w:type="dxa" w:w="960"/>
          </w:tcPr>
          <w:p>
            <w:r>
              <w:t>1.52</w:t>
            </w:r>
          </w:p>
        </w:tc>
        <w:tc>
          <w:tcPr>
            <w:tcW w:type="dxa" w:w="960"/>
          </w:tcPr>
          <w:p>
            <w:r>
              <w:t>布林带收口，说明波动率下降，股价可能处于蓄势阶段，但方向尚未确认。</w:t>
            </w:r>
          </w:p>
        </w:tc>
      </w:tr>
      <w:tr>
        <w:tc>
          <w:tcPr>
            <w:tcW w:type="dxa" w:w="960"/>
          </w:tcPr>
          <w:p>
            <w:r>
              <w:t>NBIS</w:t>
            </w:r>
          </w:p>
        </w:tc>
        <w:tc>
          <w:tcPr>
            <w:tcW w:type="dxa" w:w="960"/>
          </w:tcPr>
          <w:p>
            <w:r>
              <w:t>Nebius Group</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29.65%</w:t>
            </w:r>
          </w:p>
        </w:tc>
        <w:tc>
          <w:tcPr>
            <w:tcW w:type="dxa" w:w="960"/>
          </w:tcPr>
          <w:p>
            <w:r>
              <w:t>0.343</w:t>
            </w:r>
          </w:p>
        </w:tc>
        <w:tc>
          <w:tcPr>
            <w:tcW w:type="dxa" w:w="960"/>
          </w:tcPr>
          <w:p>
            <w:r>
              <w:t>0.79</w:t>
            </w:r>
          </w:p>
        </w:tc>
        <w:tc>
          <w:tcPr>
            <w:tcW w:type="dxa" w:w="960"/>
          </w:tcPr>
          <w:p>
            <w:r>
              <w:t>布林带收口，说明波动率下降，股价可能处于蓄势阶段，但方向尚未确认。</w:t>
            </w:r>
          </w:p>
        </w:tc>
      </w:tr>
      <w:tr>
        <w:tc>
          <w:tcPr>
            <w:tcW w:type="dxa" w:w="960"/>
          </w:tcPr>
          <w:p>
            <w:r>
              <w:t>ASTS</w:t>
            </w:r>
          </w:p>
        </w:tc>
        <w:tc>
          <w:tcPr>
            <w:tcW w:type="dxa" w:w="960"/>
          </w:tcPr>
          <w:p>
            <w:r>
              <w:t>AST SpaceMobile</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23.60%</w:t>
            </w:r>
          </w:p>
        </w:tc>
        <w:tc>
          <w:tcPr>
            <w:tcW w:type="dxa" w:w="960"/>
          </w:tcPr>
          <w:p>
            <w:r>
              <w:t>0.324</w:t>
            </w:r>
          </w:p>
        </w:tc>
        <w:tc>
          <w:tcPr>
            <w:tcW w:type="dxa" w:w="960"/>
          </w:tcPr>
          <w:p>
            <w:r>
              <w:t>0.73</w:t>
            </w:r>
          </w:p>
        </w:tc>
        <w:tc>
          <w:tcPr>
            <w:tcW w:type="dxa" w:w="960"/>
          </w:tcPr>
          <w:p>
            <w:r>
              <w:t>布林带收口，说明波动率下降，股价可能处于蓄势阶段，但方向尚未确认。</w:t>
            </w:r>
          </w:p>
        </w:tc>
      </w:tr>
    </w:tbl>
    <w:p>
      <w:pPr>
        <w:pStyle w:val="Heading2"/>
      </w:pPr>
      <w:r>
        <w:t>二、重点结论</w:t>
      </w:r>
    </w:p>
    <w:p>
      <w:pPr>
        <w:pStyle w:val="ListBullet"/>
      </w:pPr>
      <w:r>
        <w:t>强信号：INSP, GOOG。</w:t>
      </w:r>
    </w:p>
    <w:p>
      <w:pPr>
        <w:pStyle w:val="ListBullet"/>
      </w:pPr>
      <w:r>
        <w:t>中等信号：无。</w:t>
      </w:r>
    </w:p>
    <w:p>
      <w:pPr>
        <w:pStyle w:val="ListBullet"/>
      </w:pPr>
      <w:r>
        <w:t>观察信号：ORCL, NBIS, ASTS。</w:t>
      </w:r>
    </w:p>
    <w:p>
      <w:pPr>
        <w:pStyle w:val="ListBullet"/>
      </w:pPr>
      <w:r>
        <w:t>今日优先复核：INSP, GOOG, ORCL, NBIS, ASTS。优先看是否放量、能否站稳上轨或中轨。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INSP - Inspire Medical Systems, Inc.</w:t>
      </w:r>
    </w:p>
    <w:p>
      <w:pPr>
        <w:pStyle w:val="ListBullet"/>
      </w:pPr>
      <w:r>
        <w:t>信号等级：A 强信号</w:t>
      </w:r>
    </w:p>
    <w:p>
      <w:pPr>
        <w:pStyle w:val="ListBullet"/>
      </w:pPr>
      <w:r>
        <w:t>最新收盘价：$74.32</w:t>
      </w:r>
    </w:p>
    <w:p>
      <w:pPr>
        <w:pStyle w:val="ListBullet"/>
      </w:pPr>
      <w:r>
        <w:t>BOLL：上轨 $71.59；中轨 $63.17；下轨 $54.75</w:t>
      </w:r>
    </w:p>
    <w:p>
      <w:pPr>
        <w:pStyle w:val="ListBullet"/>
      </w:pPr>
      <w:r>
        <w:t>Bandwidth：26.65%；历史分位：55.95%；%B：1.162</w:t>
      </w:r>
    </w:p>
    <w:p>
      <w:pPr>
        <w:pStyle w:val="ListBullet"/>
      </w:pPr>
      <w:r>
        <w:t>成交量：当日 1172100；20日均量 624125；量比 1.88</w:t>
      </w:r>
    </w:p>
    <w:p>
      <w:pPr>
        <w:pStyle w:val="ListBullet"/>
      </w:pPr>
      <w:r>
        <w:t>触发信号：布林带向上开口（最近5天）；成交量放大；放量突破上轨-强；连续2日站上上轨；低位形态</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GOOG - Alphabet Inc.</w:t>
      </w:r>
    </w:p>
    <w:p>
      <w:pPr>
        <w:pStyle w:val="ListBullet"/>
      </w:pPr>
      <w:r>
        <w:t>信号等级：A 强信号</w:t>
      </w:r>
    </w:p>
    <w:p>
      <w:pPr>
        <w:pStyle w:val="ListBullet"/>
      </w:pPr>
      <w:r>
        <w:t>最新收盘价：$345.71</w:t>
      </w:r>
    </w:p>
    <w:p>
      <w:pPr>
        <w:pStyle w:val="ListBullet"/>
      </w:pPr>
      <w:r>
        <w:t>BOLL：上轨 $347.52；中轨 $338.15；下轨 $328.78</w:t>
      </w:r>
    </w:p>
    <w:p>
      <w:pPr>
        <w:pStyle w:val="ListBullet"/>
      </w:pPr>
      <w:r>
        <w:t>Bandwidth：5.54%；历史分位：5.95%；%B：0.904</w:t>
      </w:r>
    </w:p>
    <w:p>
      <w:pPr>
        <w:pStyle w:val="ListBullet"/>
      </w:pPr>
      <w:r>
        <w:t>成交量：当日 22441500；20日均量 15921845；量比 1.41</w:t>
      </w:r>
    </w:p>
    <w:p>
      <w:pPr>
        <w:pStyle w:val="ListBullet"/>
      </w:pPr>
      <w:r>
        <w:t>触发信号：中轨反弹并接近上轨；成交量放大；下轨反弹：处于中轨与上轨之间；成交量温和改善</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ORCL - Oracle</w:t>
      </w:r>
    </w:p>
    <w:p>
      <w:pPr>
        <w:pStyle w:val="ListBullet"/>
      </w:pPr>
      <w:r>
        <w:t>信号等级：C 观察信号</w:t>
      </w:r>
    </w:p>
    <w:p>
      <w:pPr>
        <w:pStyle w:val="ListBullet"/>
      </w:pPr>
      <w:r>
        <w:t>最新收盘价：$144.79</w:t>
      </w:r>
    </w:p>
    <w:p>
      <w:pPr>
        <w:pStyle w:val="ListBullet"/>
      </w:pPr>
      <w:r>
        <w:t>BOLL：上轨 $161.47；中轨 $149.09；下轨 $136.71</w:t>
      </w:r>
    </w:p>
    <w:p>
      <w:pPr>
        <w:pStyle w:val="ListBullet"/>
      </w:pPr>
      <w:r>
        <w:t>Bandwidth：16.60%；历史分位：24.40%；%B：0.326</w:t>
      </w:r>
    </w:p>
    <w:p>
      <w:pPr>
        <w:pStyle w:val="ListBullet"/>
      </w:pPr>
      <w:r>
        <w:t>成交量：当日 42049600；20日均量 27734015；量比 1.52</w:t>
      </w:r>
    </w:p>
    <w:p>
      <w:pPr>
        <w:pStyle w:val="ListBullet"/>
      </w:pPr>
      <w:r>
        <w:t>触发信号：弱收口：Bandwidth连续12天维持低于近8个月30%分位；中轨附近窄幅震荡；低位形态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NBIS - Nebius Group</w:t>
      </w:r>
    </w:p>
    <w:p>
      <w:pPr>
        <w:pStyle w:val="ListBullet"/>
      </w:pPr>
      <w:r>
        <w:t>信号等级：C 观察信号</w:t>
      </w:r>
    </w:p>
    <w:p>
      <w:pPr>
        <w:pStyle w:val="ListBullet"/>
      </w:pPr>
      <w:r>
        <w:t>最新收盘价：$212.19</w:t>
      </w:r>
    </w:p>
    <w:p>
      <w:pPr>
        <w:pStyle w:val="ListBullet"/>
      </w:pPr>
      <w:r>
        <w:t>BOLL：上轨 $255.54；中轨 $222.55；下轨 $189.55</w:t>
      </w:r>
    </w:p>
    <w:p>
      <w:pPr>
        <w:pStyle w:val="ListBullet"/>
      </w:pPr>
      <w:r>
        <w:t>Bandwidth：29.65%；历史分位：9.52%；%B：0.343</w:t>
      </w:r>
    </w:p>
    <w:p>
      <w:pPr>
        <w:pStyle w:val="ListBullet"/>
      </w:pPr>
      <w:r>
        <w:t>成交量：当日 13684600；20日均量 17293740；量比 0.79</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ASTS - AST SpaceMobile</w:t>
      </w:r>
    </w:p>
    <w:p>
      <w:pPr>
        <w:pStyle w:val="ListBullet"/>
      </w:pPr>
      <w:r>
        <w:t>信号等级：C 观察信号</w:t>
      </w:r>
    </w:p>
    <w:p>
      <w:pPr>
        <w:pStyle w:val="ListBullet"/>
      </w:pPr>
      <w:r>
        <w:t>最新收盘价：$60.00</w:t>
      </w:r>
    </w:p>
    <w:p>
      <w:pPr>
        <w:pStyle w:val="ListBullet"/>
      </w:pPr>
      <w:r>
        <w:t>BOLL：上轨 $69.99；中轨 $62.61；下轨 $55.22</w:t>
      </w:r>
    </w:p>
    <w:p>
      <w:pPr>
        <w:pStyle w:val="ListBullet"/>
      </w:pPr>
      <w:r>
        <w:t>Bandwidth：23.60%；历史分位：4.17%；%B：0.324</w:t>
      </w:r>
    </w:p>
    <w:p>
      <w:pPr>
        <w:pStyle w:val="ListBullet"/>
      </w:pPr>
      <w:r>
        <w:t>成交量：当日 6872600；20日均量 9397530；量比 0.73</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ARM（Arm Holdings）, OPTX（Syntec Optics Holdings）, GLW（Corning）, COHR（Coherent）, LITE（Lumentum Holdings）, MRVL（Marvell Technology）, INTC（Intel）, ALAB（Astera Labs）, FLNC（Fluence Energy）, CRWV（CoreWeave）,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CIEN（Ciena）, SIVEF（Sivers Semiconductors）, SHAZ（Shaz）, LUNR（Intuitive Machines）, AAOI（Applied Optoelectronics）, INOD（Innodata）, SPCX（Space Exploration Technologies）, RDW（Redwire Corporation）, QCOM（QUALCOMM Incorporated）, COIN（Coinbase Global, Inc.）, CORZ（Core Scientific, Inc.）, IREN（IREN LIMITED）, VELO（Velo3D, Inc.）, MSFT（Microsoft Corporation）, AVGO（Broadcom Inc.）, AMAT（Applied Materials, Inc.）, AMKR（Amkor Technology, Inc.）, LRCX（Lam Research Corporation）, SNDK（Sandisk Corporation）, MU（Micron Technology, Inc.）, VICR（Vicor Corporation）, NNE（Nano Nuclear Energy Inc.）, CCJ（Cameco Corporation）, BWAY（Brainsway Ltd.）, MANE（Veradermics, Incorporated）, QSI（Quantum-Si Incorporated）, CRSP（CRISPR Therapeutics AG）, IBRX（ImmunityBio, Inc.）</w:t>
      </w:r>
    </w:p>
    <w:p>
      <w:r>
        <w:br w:type="page"/>
      </w:r>
    </w:p>
    <w:p>
      <w:pPr>
        <w:pStyle w:val="Heading2"/>
      </w:pPr>
      <w:r>
        <w:t>六、触发股票 BOLL 图表</w:t>
      </w:r>
    </w:p>
    <w:p>
      <w:pPr>
        <w:pStyle w:val="Heading3"/>
      </w:pPr>
      <w:r>
        <w:t>INSP - Inspire Medical Systems,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NSP_BOLL.png"/>
                    <pic:cNvPicPr/>
                  </pic:nvPicPr>
                  <pic:blipFill>
                    <a:blip r:embed="rId9"/>
                    <a:stretch>
                      <a:fillRect/>
                    </a:stretch>
                  </pic:blipFill>
                  <pic:spPr>
                    <a:xfrm>
                      <a:off x="0" y="0"/>
                      <a:ext cx="6035040" cy="4054793"/>
                    </a:xfrm>
                    <a:prstGeom prst="rect"/>
                  </pic:spPr>
                </pic:pic>
              </a:graphicData>
            </a:graphic>
          </wp:inline>
        </w:drawing>
      </w:r>
    </w:p>
    <w:p>
      <w:pPr>
        <w:pStyle w:val="Heading3"/>
      </w:pPr>
      <w:r>
        <w:t>GOOG - Alphabet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GOOG_BOLL.png"/>
                    <pic:cNvPicPr/>
                  </pic:nvPicPr>
                  <pic:blipFill>
                    <a:blip r:embed="rId10"/>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ORCL_BOLL.png"/>
                    <pic:cNvPicPr/>
                  </pic:nvPicPr>
                  <pic:blipFill>
                    <a:blip r:embed="rId11"/>
                    <a:stretch>
                      <a:fillRect/>
                    </a:stretch>
                  </pic:blipFill>
                  <pic:spPr>
                    <a:xfrm>
                      <a:off x="0" y="0"/>
                      <a:ext cx="6035040" cy="4054793"/>
                    </a:xfrm>
                    <a:prstGeom prst="rect"/>
                  </pic:spPr>
                </pic:pic>
              </a:graphicData>
            </a:graphic>
          </wp:inline>
        </w:drawing>
      </w:r>
    </w:p>
    <w:p>
      <w:pPr>
        <w:pStyle w:val="Heading3"/>
      </w:pPr>
      <w:r>
        <w:t>NBIS - Nebius Group</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NBIS_BOLL.png"/>
                    <pic:cNvPicPr/>
                  </pic:nvPicPr>
                  <pic:blipFill>
                    <a:blip r:embed="rId12"/>
                    <a:stretch>
                      <a:fillRect/>
                    </a:stretch>
                  </pic:blipFill>
                  <pic:spPr>
                    <a:xfrm>
                      <a:off x="0" y="0"/>
                      <a:ext cx="6035040" cy="4054793"/>
                    </a:xfrm>
                    <a:prstGeom prst="rect"/>
                  </pic:spPr>
                </pic:pic>
              </a:graphicData>
            </a:graphic>
          </wp:inline>
        </w:drawing>
      </w:r>
    </w:p>
    <w:p>
      <w:pPr>
        <w:pStyle w:val="Heading3"/>
      </w:pPr>
      <w:r>
        <w:t>ASTS - AST SpaceMobile</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ASTS_BOLL.png"/>
                    <pic:cNvPicPr/>
                  </pic:nvPicPr>
                  <pic:blipFill>
                    <a:blip r:embed="rId13"/>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