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报告日期：2026-09-14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6.78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60.00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82.98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21.36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95.76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13.88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上升趋势(10)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97.42</w:t>
            </w:r>
          </w:p>
        </w:tc>
        <w:tc>
          <w:tcPr>
            <w:tcW w:type="dxa" w:w="1440"/>
          </w:tcPr>
          <w:p>
            <w:r>
              <w:t>暂无明显技术风险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7.23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当前价格：6.78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RSI：RSI6=24.2；RSI12=35.7；RSI24=42.5；未进入过热见顶评分</w:t>
      </w:r>
    </w:p>
    <w:p>
      <w:pPr>
        <w:pStyle w:val="ListBullet"/>
      </w:pPr>
      <w:r>
        <w:t>MA20/50/200：MA20=7.99；MA50=7.94；MA200=7.31；MA20高于MA50；MA50高于MA200</w:t>
      </w:r>
    </w:p>
    <w:p>
      <w:pPr>
        <w:pStyle w:val="ListBullet"/>
      </w:pPr>
      <w:r>
        <w:t>成交量变化：Volume/MA20=1.49倍；成交量为20日均量的1.49倍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6.78；MA20 7.99；MA50 7.94；MA200 7.31。若后续有效跌破MA50，趋势进一步恶化的概率上升。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当前价格：60.00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RSI：RSI6=42.3；RSI12=44.3；RSI24=45.2；未进入过热见顶评分</w:t>
      </w:r>
    </w:p>
    <w:p>
      <w:pPr>
        <w:pStyle w:val="ListBullet"/>
      </w:pPr>
      <w:r>
        <w:t>MA20/50/200：MA20=62.61；MA50=64.53；MA200=81.58；未满足上升趋势过滤条件</w:t>
      </w:r>
    </w:p>
    <w:p>
      <w:pPr>
        <w:pStyle w:val="ListBullet"/>
      </w:pPr>
      <w:r>
        <w:t>成交量变化：Volume/MA20=0.73倍；成交量为20日均量的0.73倍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60.00；MA20 62.61；MA50 64.53；MA200 81.58。若后续有效跌破MA50，趋势进一步恶化的概率上升。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当前价格：82.98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RSI：RSI6=36.7；RSI12=43.6；RSI24=46.6；未进入过热见顶评分</w:t>
      </w:r>
    </w:p>
    <w:p>
      <w:pPr>
        <w:pStyle w:val="ListBullet"/>
      </w:pPr>
      <w:r>
        <w:t>MA20/50/200：MA20=88.92；MA50=85.55；MA200=91.93；MA20高于MA50</w:t>
      </w:r>
    </w:p>
    <w:p>
      <w:pPr>
        <w:pStyle w:val="ListBullet"/>
      </w:pPr>
      <w:r>
        <w:t>成交量变化：Volume/MA20=1.17倍；成交量为20日均量的1.17倍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82.98；MA20 88.92；MA50 85.55；MA200 91.93。若后续有效跌破MA50，趋势进一步恶化的概率上升。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数据提示：历史数据不足300个交易日，当前仅277个交易日；部分长期均线可能为空。</w:t>
      </w:r>
    </w:p>
    <w:p>
      <w:r>
        <w:t>当前价格：21.36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RSI：RSI6=44.0；RSI12=43.1；RSI24=43.8；未进入过热见顶评分</w:t>
      </w:r>
    </w:p>
    <w:p>
      <w:pPr>
        <w:pStyle w:val="ListBullet"/>
      </w:pPr>
      <w:r>
        <w:t>MA20/50/200：MA20=22.57；MA50=22.67；MA200=27.62；未满足上升趋势过滤条件</w:t>
      </w:r>
    </w:p>
    <w:p>
      <w:pPr>
        <w:pStyle w:val="ListBullet"/>
      </w:pPr>
      <w:r>
        <w:t>成交量变化：Volume/MA20=0.91倍；成交量为20日均量的0.91倍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21.36；MA20 22.57；MA50 22.67；MA200 27.62。若后续有效跌破MA50，趋势进一步恶化的概率上升。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当前价格：95.76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RSI：RSI6=29.9；RSI12=38.0；RSI24=43.1；未进入过热见顶评分</w:t>
      </w:r>
    </w:p>
    <w:p>
      <w:pPr>
        <w:pStyle w:val="ListBullet"/>
      </w:pPr>
      <w:r>
        <w:t>MA20/50/200：MA20=113.02；MA50=114.23；MA200=103.61；MA50高于MA200</w:t>
      </w:r>
    </w:p>
    <w:p>
      <w:pPr>
        <w:pStyle w:val="ListBullet"/>
      </w:pPr>
      <w:r>
        <w:t>成交量变化：Volume/MA20=1.05倍；成交量为20日均量的1.05倍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95.76；MA20 113.02；MA50 114.23；MA200 103.61。若后续有效跌破MA50，趋势进一步恶化的概率上升。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当前价格：13.88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RSI：RSI6=25.7；RSI12=35.8；RSI24=41.1；未进入过热见顶评分</w:t>
      </w:r>
    </w:p>
    <w:p>
      <w:pPr>
        <w:pStyle w:val="ListBullet"/>
      </w:pPr>
      <w:r>
        <w:t>MA20/50/200：MA20=16.17；MA50=15.42；MA200=19.93；MA20高于MA50</w:t>
      </w:r>
    </w:p>
    <w:p>
      <w:pPr>
        <w:pStyle w:val="ListBullet"/>
      </w:pPr>
      <w:r>
        <w:t>成交量变化：Volume/MA20=0.71倍；成交量为20日均量的0.71倍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13.88；MA20 16.17；MA50 15.42；MA200 19.93。若后续有效跌破MA50，趋势进一步恶化的概率上升。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当前价格：97.42</w:t>
      </w:r>
    </w:p>
    <w:p>
      <w:r>
        <w:t>趋势过滤：上升趋势；上升趋势评分：10</w:t>
      </w:r>
    </w:p>
    <w:p>
      <w:r>
        <w:t>当前状态：健康上涨或正常波动</w:t>
      </w:r>
    </w:p>
    <w:p>
      <w:r>
        <w:t>风险评分：总分 0；风险等级：正常波动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RSI：RSI6=60.4；RSI12=60.4；RSI24=58.1；RSI暂无明显风险</w:t>
      </w:r>
    </w:p>
    <w:p>
      <w:pPr>
        <w:pStyle w:val="ListBullet"/>
      </w:pPr>
      <w:r>
        <w:t>MA20/50/200：MA20=89.70；MA50=75.06；MA200=85.66；均线结构暂无明显风险</w:t>
      </w:r>
    </w:p>
    <w:p>
      <w:pPr>
        <w:pStyle w:val="ListBullet"/>
      </w:pPr>
      <w:r>
        <w:t>成交量变化：Volume/MA20=1.09倍；成交量为20日均量的1.09倍</w:t>
      </w:r>
    </w:p>
    <w:p>
      <w:r>
        <w:t>主要风险来源：</w:t>
      </w:r>
    </w:p>
    <w:p>
      <w:pPr>
        <w:pStyle w:val="ListBullet"/>
      </w:pPr>
      <w:r>
        <w:t>暂无明显技术风险</w:t>
      </w:r>
    </w:p>
    <w:p>
      <w:r>
        <w:t>判断：健康上涨或正常波动。MACD暂无明显转弱；KDJ暂无明显风险；RSI暂无明显风险。</w:t>
      </w:r>
    </w:p>
    <w:p>
      <w:r>
        <w:t>建议观察位置：当前价格 97.42；MA20 89.70；MA50 75.06；MA200 85.66。若后续有效跌破MA50，趋势进一步恶化的概率上升。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当前价格：7.23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RSI：RSI6=30.5；RSI12=38.0；RSI24=43.3；未进入过热见顶评分</w:t>
      </w:r>
    </w:p>
    <w:p>
      <w:pPr>
        <w:pStyle w:val="ListBullet"/>
      </w:pPr>
      <w:r>
        <w:t>MA20/50/200：MA20=7.98；MA50=7.97；MA200=9.52；MA20高于MA50</w:t>
      </w:r>
    </w:p>
    <w:p>
      <w:pPr>
        <w:pStyle w:val="ListBullet"/>
      </w:pPr>
      <w:r>
        <w:t>成交量变化：Volume/MA20=1.37倍；成交量为20日均量的1.37倍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7.23；MA20 7.98；MA50 7.97；MA200 9.52。若后续有效跌破MA50，趋势进一步恶化的概率上升。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