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报告日期：2026-10-23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6.69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39.79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54.24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18.23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67.51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10.52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85.91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6.20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当前价格：6.69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RSI：RSI6=34.1；RSI12=39.9；RSI24=44.1；未进入过热见顶评分</w:t>
      </w:r>
    </w:p>
    <w:p>
      <w:pPr>
        <w:pStyle w:val="ListBullet"/>
      </w:pPr>
      <w:r>
        <w:t>MA20/50/200：MA20=7.74；MA50=7.74；MA200=8.11；MA20高于MA50；近60日收益为正</w:t>
      </w:r>
    </w:p>
    <w:p>
      <w:pPr>
        <w:pStyle w:val="ListBullet"/>
      </w:pPr>
      <w:r>
        <w:t>成交量变化：Volume/MA20=0.51倍；成交量为20日均量的0.51倍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6.69；MA20 7.74；MA50 7.74；MA200 8.11。若后续有效跌破MA50，趋势进一步恶化的概率上升。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当前价格：39.79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RSI：RSI6=27.5；RSI12=29.7；RSI24=35.8；未进入过热见顶评分</w:t>
      </w:r>
    </w:p>
    <w:p>
      <w:pPr>
        <w:pStyle w:val="ListBullet"/>
      </w:pPr>
      <w:r>
        <w:t>MA20/50/200：MA20=50.66；MA50=57.68；MA200=78.83；未满足上升趋势过滤条件</w:t>
      </w:r>
    </w:p>
    <w:p>
      <w:pPr>
        <w:pStyle w:val="ListBullet"/>
      </w:pPr>
      <w:r>
        <w:t>成交量变化：Volume/MA20=0.73倍；成交量为20日均量的0.73倍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39.79；MA20 50.66；MA50 57.68；MA200 78.83。若后续有效跌破MA50，趋势进一步恶化的概率上升。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当前价格：54.24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RSI：RSI6=14.9；RSI12=23.5；RSI24=33.5；未进入过热见顶评分</w:t>
      </w:r>
    </w:p>
    <w:p>
      <w:pPr>
        <w:pStyle w:val="ListBullet"/>
      </w:pPr>
      <w:r>
        <w:t>MA20/50/200：MA20=75.87；MA50=83.27；MA200=92.00；未满足上升趋势过滤条件</w:t>
      </w:r>
    </w:p>
    <w:p>
      <w:pPr>
        <w:pStyle w:val="ListBullet"/>
      </w:pPr>
      <w:r>
        <w:t>成交量变化：Volume/MA20=0.90倍；成交量为20日均量的0.90倍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54.24；MA20 75.87；MA50 83.27；MA200 92.00。若后续有效跌破MA50，趋势进一步恶化的概率上升。</w:t>
      </w:r>
    </w:p>
    <w:p>
      <w:pPr>
        <w:pStyle w:val="Heading3"/>
      </w:pPr>
      <w:r>
        <w:t>FLY</w:t>
      </w:r>
    </w:p>
    <w:p>
      <w:r>
        <w:t>当前价格：18.23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RSI：RSI6=50.3；RSI12=42.3；RSI24=42.3；未进入过热见顶评分</w:t>
      </w:r>
    </w:p>
    <w:p>
      <w:pPr>
        <w:pStyle w:val="ListBullet"/>
      </w:pPr>
      <w:r>
        <w:t>MA20/50/200：MA20=19.98；MA50=21.53；MA200=27.45；未满足上升趋势过滤条件</w:t>
      </w:r>
    </w:p>
    <w:p>
      <w:pPr>
        <w:pStyle w:val="ListBullet"/>
      </w:pPr>
      <w:r>
        <w:t>成交量变化：Volume/MA20=0.69倍；成交量为20日均量的0.69倍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18.23；MA20 19.98；MA50 21.53；MA200 27.45。若后续有效跌破MA50，趋势进一步恶化的概率上升。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当前价格：67.51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RSI：RSI6=17.8；RSI12=28.3；RSI24=37.0；未进入过热见顶评分</w:t>
      </w:r>
    </w:p>
    <w:p>
      <w:pPr>
        <w:pStyle w:val="ListBullet"/>
      </w:pPr>
      <w:r>
        <w:t>MA20/50/200：MA20=96.06；MA50=104.93；MA200=113.13；未满足上升趋势过滤条件</w:t>
      </w:r>
    </w:p>
    <w:p>
      <w:pPr>
        <w:pStyle w:val="ListBullet"/>
      </w:pPr>
      <w:r>
        <w:t>成交量变化：Volume/MA20=0.77倍；成交量为20日均量的0.77倍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67.51；MA20 96.06；MA50 104.93；MA200 113.13。若后续有效跌破MA50，趋势进一步恶化的概率上升。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当前价格：10.52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RSI：RSI6=27.7；RSI12=30.8；RSI24=36.7；未进入过热见顶评分</w:t>
      </w:r>
    </w:p>
    <w:p>
      <w:pPr>
        <w:pStyle w:val="ListBullet"/>
      </w:pPr>
      <w:r>
        <w:t>MA20/50/200：MA20=12.75；MA50=14.64；MA200=19.96；未满足上升趋势过滤条件</w:t>
      </w:r>
    </w:p>
    <w:p>
      <w:pPr>
        <w:pStyle w:val="ListBullet"/>
      </w:pPr>
      <w:r>
        <w:t>成交量变化：Volume/MA20=0.74倍；成交量为20日均量的0.74倍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10.52；MA20 12.75；MA50 14.64；MA200 19.96。若后续有效跌破MA50，趋势进一步恶化的概率上升。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当前价格：85.91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RSI：RSI6=52.6；RSI12=51.1；RSI24=50.9；未进入过热见顶评分</w:t>
      </w:r>
    </w:p>
    <w:p>
      <w:pPr>
        <w:pStyle w:val="ListBullet"/>
      </w:pPr>
      <w:r>
        <w:t>MA20/50/200：MA20=83.79；MA50=86.96；MA200=86.16；收盘价站上MA20；MA50高于MA200；MA50斜率向上；近60日收益为正</w:t>
      </w:r>
    </w:p>
    <w:p>
      <w:pPr>
        <w:pStyle w:val="ListBullet"/>
      </w:pPr>
      <w:r>
        <w:t>成交量变化：Volume/MA20=0.86倍；成交量为20日均量的0.86倍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85.91；MA20 83.79；MA50 86.96；MA200 86.16。若后续有效跌破MA50，趋势进一步恶化的概率上升。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当前价格：6.20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RSI：RSI6=41.5；RSI12=37.2；RSI24=39.6；未进入过热见顶评分</w:t>
      </w:r>
    </w:p>
    <w:p>
      <w:pPr>
        <w:pStyle w:val="ListBullet"/>
      </w:pPr>
      <w:r>
        <w:t>MA20/50/200：MA20=6.75；MA50=7.42；MA200=9.21；未满足上升趋势过滤条件</w:t>
      </w:r>
    </w:p>
    <w:p>
      <w:pPr>
        <w:pStyle w:val="ListBullet"/>
      </w:pPr>
      <w:r>
        <w:t>成交量变化：Volume/MA20=0.82倍；成交量为20日均量的0.82倍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6.20；MA20 6.75；MA50 7.42；MA200 9.21。若后续有效跌破MA50，趋势进一步恶化的概率上升。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