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报告日期：2026-10-23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85.91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18.23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6.20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6.69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39.79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54.24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67.51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10.52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当前价格：85.91</w:t>
      </w:r>
    </w:p>
    <w:p>
      <w:r>
        <w:t>短线状态：短线反弹确认；反弹确认分：7</w:t>
      </w:r>
    </w:p>
    <w:p>
      <w:r>
        <w:t>短线风险分：1；风险等级：短线反弹正常</w:t>
      </w:r>
    </w:p>
    <w:p>
      <w:r>
        <w:t>指标摘要：RSI6/RSI12=52.6/51.1；K/D/J=67.3/64.0/73.9；偏离MA20=2.53%；近5日涨幅=4.49%；量能=0.86倍。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85.91；MA5 85.90；MA10 84.64；MA20 83.79。若跌破MA5，短线反弹降温；若跌破MA20，反弹结构可能明显转弱。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当前价格：18.23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指标摘要：RSI6/RSI12=50.3/42.3；K/D/J=40.4/24.4/72.3；偏离MA20=-8.75%；近5日涨幅=8.84%；量能=0.69倍。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18.23；MA5 17.27；MA10 17.57；MA20 19.98。若跌破MA5，短线反弹降温；若跌破MA20，反弹结构可能明显转弱。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当前价格：6.20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指标摘要：RSI6/RSI12=41.5/37.2；K/D/J=28.9/23.1/40.5；偏离MA20=-8.15%；近5日涨幅=2.65%；量能=0.82倍。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6.20；MA5 6.13；MA10 6.26；MA20 6.75。若跌破MA5，短线反弹降温；若跌破MA20，反弹结构可能明显转弱。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当前价格：6.69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指标摘要：RSI6/RSI12=34.1/39.9；K/D/J=22.3/21.9/23.2；偏离MA20=-13.61%；近5日涨幅=2.61%；量能=0.51倍。</w:t>
      </w:r>
    </w:p>
    <w:p>
      <w:r>
        <w:t>反弹成立条件：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6.69；MA5 6.83；MA10 7.00；MA20 7.74。若跌破MA5，短线反弹降温；若跌破MA20，反弹结构可能明显转弱。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当前价格：39.79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指标摘要：RSI6/RSI12=27.5/29.7；K/D/J=14.4/12.4/18.6；偏离MA20=-21.45%；近5日涨幅=-2.14%；量能=0.73倍。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39.79；MA5 40.49；MA10 42.82；MA20 50.66。若跌破MA5，短线反弹降温；若跌破MA20，反弹结构可能明显转弱。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当前价格：54.24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指标摘要：RSI6/RSI12=14.9/23.5；K/D/J=9.3/13.0/1.7；偏离MA20=-28.51%；近5日涨幅=-11.65%；量能=0.90倍。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54.24；MA5 58.98；MA10 64.98；MA20 75.87。若跌破MA5，短线反弹降温；若跌破MA20，反弹结构可能明显转弱。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当前价格：67.51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指标摘要：RSI6/RSI12=17.8/28.3；K/D/J=6.4/10.1/-1.1；偏离MA20=-29.72%；近5日涨幅=-10.67%；量能=0.77倍。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67.51；MA5 73.57；MA10 81.18；MA20 96.06。若跌破MA5，短线反弹降温；若跌破MA20，反弹结构可能明显转弱。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当前价格：10.52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指标摘要：RSI6/RSI12=27.7/30.8；K/D/J=15.5/14.2/18.2；偏离MA20=-17.48%；近5日涨幅=-2.41%；量能=0.74倍。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10.52；MA5 10.63；MA10 11.16；MA20 12.75。若跌破MA5，短线反弹降温；若跌破MA20，反弹结构可能明显转弱。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