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美股 BOLL 布林线监控报告 - 2026-10-09</w:t>
      </w:r>
    </w:p>
    <w:p>
      <w:pPr>
        <w:pStyle w:val="ListBullet"/>
      </w:pPr>
      <w:r>
        <w:t>生成时间（美东）：2026-10-11 22:28:27 EDT</w:t>
      </w:r>
    </w:p>
    <w:p>
      <w:pPr>
        <w:pStyle w:val="ListBullet"/>
      </w:pPr>
      <w:r>
        <w:t>最新可用交易日：2026-10-09</w:t>
      </w:r>
    </w:p>
    <w:p>
      <w:pPr>
        <w:pStyle w:val="ListBullet"/>
      </w:pPr>
      <w:r>
        <w:t>数据源优先级：Yahoo Chart API -&gt; yfinance（可选备用，无需额外配置）</w:t>
      </w:r>
    </w:p>
    <w:p>
      <w:pPr>
        <w:pStyle w:val="ListBullet"/>
      </w:pPr>
      <w:r>
        <w:t>提醒：当前美东日期不是美股交易日，本次使用最近可用交易日的收盘数据计算。</w:t>
      </w:r>
    </w:p>
    <w:p>
      <w:pPr>
        <w:pStyle w:val="ListBullet"/>
      </w:pPr>
      <w:r>
        <w:t>策略说明：本报告按近8个月 Bandwidth 分位判断收口；低于10%且持续5天以上或创近100日新低为强收口，低于20%且持续5天以上为中等收口。弱收口必须满足 Bandwidth 低于近8个月30%分位，并且最近8个交易日及以上连续下降，或连续8个交易日及以上维持低于近8个月30%分位。观察信号要求弱收口且股价接近中轨。向上开口要求 Bandwidth 最近2-5日明显扩大、上轨向上、下轨向下、股价突破或接近上轨并伴随成交量放大；向下开口不列入触发。放量突破上轨按量能、涨幅和带宽扩张分级。</w:t>
      </w:r>
    </w:p>
    <w:p>
      <w:pPr>
        <w:pStyle w:val="ListBullet"/>
      </w:pPr>
      <w:r>
        <w:t>说明：本报告只监控 BOLL 布林线，不构成投资建议。</w:t>
      </w:r>
    </w:p>
    <w:p>
      <w:pPr>
        <w:pStyle w:val="Heading2"/>
      </w:pPr>
      <w:r>
        <w:t>一、今日触发名单</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股票代码</w:t>
            </w:r>
          </w:p>
        </w:tc>
        <w:tc>
          <w:tcPr>
            <w:tcW w:type="dxa" w:w="960"/>
          </w:tcPr>
          <w:p>
            <w:r>
              <w:t>公司名称</w:t>
            </w:r>
          </w:p>
        </w:tc>
        <w:tc>
          <w:tcPr>
            <w:tcW w:type="dxa" w:w="960"/>
          </w:tcPr>
          <w:p>
            <w:r>
              <w:t>等级</w:t>
            </w:r>
          </w:p>
        </w:tc>
        <w:tc>
          <w:tcPr>
            <w:tcW w:type="dxa" w:w="960"/>
          </w:tcPr>
          <w:p>
            <w:r>
              <w:t>触发信号</w:t>
            </w:r>
          </w:p>
        </w:tc>
        <w:tc>
          <w:tcPr>
            <w:tcW w:type="dxa" w:w="960"/>
          </w:tcPr>
          <w:p>
            <w:r>
              <w:t>位置</w:t>
            </w:r>
          </w:p>
        </w:tc>
        <w:tc>
          <w:tcPr>
            <w:tcW w:type="dxa" w:w="960"/>
          </w:tcPr>
          <w:p>
            <w:r>
              <w:t>Bandwidth</w:t>
            </w:r>
          </w:p>
        </w:tc>
        <w:tc>
          <w:tcPr>
            <w:tcW w:type="dxa" w:w="960"/>
          </w:tcPr>
          <w:p>
            <w:r>
              <w:t>%B</w:t>
            </w:r>
          </w:p>
        </w:tc>
        <w:tc>
          <w:tcPr>
            <w:tcW w:type="dxa" w:w="960"/>
          </w:tcPr>
          <w:p>
            <w:r>
              <w:t>量比</w:t>
            </w:r>
          </w:p>
        </w:tc>
        <w:tc>
          <w:tcPr>
            <w:tcW w:type="dxa" w:w="960"/>
          </w:tcPr>
          <w:p>
            <w:r>
              <w:t>简要结论</w:t>
            </w:r>
          </w:p>
        </w:tc>
      </w:tr>
      <w:tr>
        <w:tc>
          <w:tcPr>
            <w:tcW w:type="dxa" w:w="960"/>
          </w:tcPr>
          <w:p>
            <w:r>
              <w:t>PLTR</w:t>
            </w:r>
          </w:p>
        </w:tc>
        <w:tc>
          <w:tcPr>
            <w:tcW w:type="dxa" w:w="960"/>
          </w:tcPr>
          <w:p>
            <w:r>
              <w:t>Palantir Technologies Inc.</w:t>
            </w:r>
          </w:p>
        </w:tc>
        <w:tc>
          <w:tcPr>
            <w:tcW w:type="dxa" w:w="960"/>
          </w:tcPr>
          <w:p>
            <w:r>
              <w:t>B 中等信号</w:t>
            </w:r>
          </w:p>
        </w:tc>
        <w:tc>
          <w:tcPr>
            <w:tcW w:type="dxa" w:w="960"/>
          </w:tcPr>
          <w:p>
            <w:r>
              <w:t>放量突破上轨-中</w:t>
            </w:r>
          </w:p>
        </w:tc>
        <w:tc>
          <w:tcPr>
            <w:tcW w:type="dxa" w:w="960"/>
          </w:tcPr>
          <w:p>
            <w:r>
              <w:t>突破上轨</w:t>
            </w:r>
          </w:p>
        </w:tc>
        <w:tc>
          <w:tcPr>
            <w:tcW w:type="dxa" w:w="960"/>
          </w:tcPr>
          <w:p>
            <w:r>
              <w:t>18.89%</w:t>
            </w:r>
          </w:p>
        </w:tc>
        <w:tc>
          <w:tcPr>
            <w:tcW w:type="dxa" w:w="960"/>
          </w:tcPr>
          <w:p>
            <w:r>
              <w:t>1.124</w:t>
            </w:r>
          </w:p>
        </w:tc>
        <w:tc>
          <w:tcPr>
            <w:tcW w:type="dxa" w:w="960"/>
          </w:tcPr>
          <w:p>
            <w:r>
              <w:t>1.56</w:t>
            </w:r>
          </w:p>
        </w:tc>
        <w:tc>
          <w:tcPr>
            <w:tcW w:type="dxa" w:w="960"/>
          </w:tcPr>
          <w:p>
            <w:r>
              <w:t>股价放量突破布林线上轨，说明短线多头动能较强，可能进入强势上涨阶段，但也要注意短线过热和回</w:t>
            </w:r>
          </w:p>
        </w:tc>
      </w:tr>
      <w:tr>
        <w:tc>
          <w:tcPr>
            <w:tcW w:type="dxa" w:w="960"/>
          </w:tcPr>
          <w:p>
            <w:r>
              <w:t>AMZN</w:t>
            </w:r>
          </w:p>
        </w:tc>
        <w:tc>
          <w:tcPr>
            <w:tcW w:type="dxa" w:w="960"/>
          </w:tcPr>
          <w:p>
            <w:r>
              <w:t>Amazon.com</w:t>
            </w:r>
          </w:p>
        </w:tc>
        <w:tc>
          <w:tcPr>
            <w:tcW w:type="dxa" w:w="960"/>
          </w:tcPr>
          <w:p>
            <w:r>
              <w:t>C 观察信号</w:t>
            </w:r>
          </w:p>
        </w:tc>
        <w:tc>
          <w:tcPr>
            <w:tcW w:type="dxa" w:w="960"/>
          </w:tcPr>
          <w:p>
            <w:r>
              <w:t>突破上轨但量能不足-弱</w:t>
            </w:r>
          </w:p>
        </w:tc>
        <w:tc>
          <w:tcPr>
            <w:tcW w:type="dxa" w:w="960"/>
          </w:tcPr>
          <w:p>
            <w:r>
              <w:t>突破上轨</w:t>
            </w:r>
          </w:p>
        </w:tc>
        <w:tc>
          <w:tcPr>
            <w:tcW w:type="dxa" w:w="960"/>
          </w:tcPr>
          <w:p>
            <w:r>
              <w:t>7.14%</w:t>
            </w:r>
          </w:p>
        </w:tc>
        <w:tc>
          <w:tcPr>
            <w:tcW w:type="dxa" w:w="960"/>
          </w:tcPr>
          <w:p>
            <w:r>
              <w:t>1.078</w:t>
            </w:r>
          </w:p>
        </w:tc>
        <w:tc>
          <w:tcPr>
            <w:tcW w:type="dxa" w:w="960"/>
          </w:tcPr>
          <w:p>
            <w:r>
              <w:t>0.94</w:t>
            </w:r>
          </w:p>
        </w:tc>
        <w:tc>
          <w:tcPr>
            <w:tcW w:type="dxa" w:w="960"/>
          </w:tcPr>
          <w:p>
            <w:r>
              <w:t>股价突破布林线上轨，但成交量确认不足，可能是假突破，需要下一交易日确认。</w:t>
            </w:r>
          </w:p>
        </w:tc>
      </w:tr>
      <w:tr>
        <w:tc>
          <w:tcPr>
            <w:tcW w:type="dxa" w:w="960"/>
          </w:tcPr>
          <w:p>
            <w:r>
              <w:t>GLW</w:t>
            </w:r>
          </w:p>
        </w:tc>
        <w:tc>
          <w:tcPr>
            <w:tcW w:type="dxa" w:w="960"/>
          </w:tcPr>
          <w:p>
            <w:r>
              <w:t>Corning</w:t>
            </w:r>
          </w:p>
        </w:tc>
        <w:tc>
          <w:tcPr>
            <w:tcW w:type="dxa" w:w="960"/>
          </w:tcPr>
          <w:p>
            <w:r>
              <w:t>C 观察信号</w:t>
            </w:r>
          </w:p>
        </w:tc>
        <w:tc>
          <w:tcPr>
            <w:tcW w:type="dxa" w:w="960"/>
          </w:tcPr>
          <w:p>
            <w:r>
              <w:t>强收口：Bandwidth创近100日新低；中轨附近窄幅震荡</w:t>
            </w:r>
          </w:p>
        </w:tc>
        <w:tc>
          <w:tcPr>
            <w:tcW w:type="dxa" w:w="960"/>
          </w:tcPr>
          <w:p>
            <w:r>
              <w:t>中轨附近</w:t>
            </w:r>
          </w:p>
        </w:tc>
        <w:tc>
          <w:tcPr>
            <w:tcW w:type="dxa" w:w="960"/>
          </w:tcPr>
          <w:p>
            <w:r>
              <w:t>17.54%</w:t>
            </w:r>
          </w:p>
        </w:tc>
        <w:tc>
          <w:tcPr>
            <w:tcW w:type="dxa" w:w="960"/>
          </w:tcPr>
          <w:p>
            <w:r>
              <w:t>0.556</w:t>
            </w:r>
          </w:p>
        </w:tc>
        <w:tc>
          <w:tcPr>
            <w:tcW w:type="dxa" w:w="960"/>
          </w:tcPr>
          <w:p>
            <w:r>
              <w:t>0.82</w:t>
            </w:r>
          </w:p>
        </w:tc>
        <w:tc>
          <w:tcPr>
            <w:tcW w:type="dxa" w:w="960"/>
          </w:tcPr>
          <w:p>
            <w:r>
              <w:t>布林带收口，说明波动率下降，股价可能处于蓄势阶段，但方向尚未确认。</w:t>
            </w:r>
          </w:p>
        </w:tc>
      </w:tr>
      <w:tr>
        <w:tc>
          <w:tcPr>
            <w:tcW w:type="dxa" w:w="960"/>
          </w:tcPr>
          <w:p>
            <w:r>
              <w:t>RKLB</w:t>
            </w:r>
          </w:p>
        </w:tc>
        <w:tc>
          <w:tcPr>
            <w:tcW w:type="dxa" w:w="960"/>
          </w:tcPr>
          <w:p>
            <w:r>
              <w:t>Rocket Lab USA</w:t>
            </w:r>
          </w:p>
        </w:tc>
        <w:tc>
          <w:tcPr>
            <w:tcW w:type="dxa" w:w="960"/>
          </w:tcPr>
          <w:p>
            <w:r>
              <w:t>C 观察信号</w:t>
            </w:r>
          </w:p>
        </w:tc>
        <w:tc>
          <w:tcPr>
            <w:tcW w:type="dxa" w:w="960"/>
          </w:tcPr>
          <w:p>
            <w:r>
              <w:t>弱收口：Bandwidth连续18天维持低于近8个月30%分位；中轨附近窄幅震荡；低位形态</w:t>
            </w:r>
          </w:p>
        </w:tc>
        <w:tc>
          <w:tcPr>
            <w:tcW w:type="dxa" w:w="960"/>
          </w:tcPr>
          <w:p>
            <w:r>
              <w:t>中轨附近</w:t>
            </w:r>
          </w:p>
        </w:tc>
        <w:tc>
          <w:tcPr>
            <w:tcW w:type="dxa" w:w="960"/>
          </w:tcPr>
          <w:p>
            <w:r>
              <w:t>20.96%</w:t>
            </w:r>
          </w:p>
        </w:tc>
        <w:tc>
          <w:tcPr>
            <w:tcW w:type="dxa" w:w="960"/>
          </w:tcPr>
          <w:p>
            <w:r>
              <w:t>0.396</w:t>
            </w:r>
          </w:p>
        </w:tc>
        <w:tc>
          <w:tcPr>
            <w:tcW w:type="dxa" w:w="960"/>
          </w:tcPr>
          <w:p>
            <w:r>
              <w:t>0.69</w:t>
            </w:r>
          </w:p>
        </w:tc>
        <w:tc>
          <w:tcPr>
            <w:tcW w:type="dxa" w:w="960"/>
          </w:tcPr>
          <w:p>
            <w:r>
              <w:t>布林带收口，说明波动率下降，股价可能处于蓄势阶段，但方向尚未确认。</w:t>
            </w:r>
          </w:p>
        </w:tc>
      </w:tr>
      <w:tr>
        <w:tc>
          <w:tcPr>
            <w:tcW w:type="dxa" w:w="960"/>
          </w:tcPr>
          <w:p>
            <w:r>
              <w:t>NOK</w:t>
            </w:r>
          </w:p>
        </w:tc>
        <w:tc>
          <w:tcPr>
            <w:tcW w:type="dxa" w:w="960"/>
          </w:tcPr>
          <w:p>
            <w:r>
              <w:t>Nokia Oyj</w:t>
            </w:r>
          </w:p>
        </w:tc>
        <w:tc>
          <w:tcPr>
            <w:tcW w:type="dxa" w:w="960"/>
          </w:tcPr>
          <w:p>
            <w:r>
              <w:t>C 观察信号</w:t>
            </w:r>
          </w:p>
        </w:tc>
        <w:tc>
          <w:tcPr>
            <w:tcW w:type="dxa" w:w="960"/>
          </w:tcPr>
          <w:p>
            <w:r>
              <w:t>强收口：Bandwidth低于近8个月10%分位且持续6天；中轨附近窄幅震荡</w:t>
            </w:r>
          </w:p>
        </w:tc>
        <w:tc>
          <w:tcPr>
            <w:tcW w:type="dxa" w:w="960"/>
          </w:tcPr>
          <w:p>
            <w:r>
              <w:t>中轨附近</w:t>
            </w:r>
          </w:p>
        </w:tc>
        <w:tc>
          <w:tcPr>
            <w:tcW w:type="dxa" w:w="960"/>
          </w:tcPr>
          <w:p>
            <w:r>
              <w:t>12.91%</w:t>
            </w:r>
          </w:p>
        </w:tc>
        <w:tc>
          <w:tcPr>
            <w:tcW w:type="dxa" w:w="960"/>
          </w:tcPr>
          <w:p>
            <w:r>
              <w:t>0.470</w:t>
            </w:r>
          </w:p>
        </w:tc>
        <w:tc>
          <w:tcPr>
            <w:tcW w:type="dxa" w:w="960"/>
          </w:tcPr>
          <w:p>
            <w:r>
              <w:t>0.60</w:t>
            </w:r>
          </w:p>
        </w:tc>
        <w:tc>
          <w:tcPr>
            <w:tcW w:type="dxa" w:w="960"/>
          </w:tcPr>
          <w:p>
            <w:r>
              <w:t>布林带收口，说明波动率下降，股价可能处于蓄势阶段，但方向尚未确认。</w:t>
            </w:r>
          </w:p>
        </w:tc>
      </w:tr>
      <w:tr>
        <w:tc>
          <w:tcPr>
            <w:tcW w:type="dxa" w:w="960"/>
          </w:tcPr>
          <w:p>
            <w:r>
              <w:t>IONQ</w:t>
            </w:r>
          </w:p>
        </w:tc>
        <w:tc>
          <w:tcPr>
            <w:tcW w:type="dxa" w:w="960"/>
          </w:tcPr>
          <w:p>
            <w:r>
              <w:t>IonQ</w:t>
            </w:r>
          </w:p>
        </w:tc>
        <w:tc>
          <w:tcPr>
            <w:tcW w:type="dxa" w:w="960"/>
          </w:tcPr>
          <w:p>
            <w:r>
              <w:t>C 观察信号</w:t>
            </w:r>
          </w:p>
        </w:tc>
        <w:tc>
          <w:tcPr>
            <w:tcW w:type="dxa" w:w="960"/>
          </w:tcPr>
          <w:p>
            <w:r>
              <w:t>弱收口：Bandwidth连续32天维持低于近8个月30%分位；中轨附近窄幅震荡；低位形态</w:t>
            </w:r>
          </w:p>
        </w:tc>
        <w:tc>
          <w:tcPr>
            <w:tcW w:type="dxa" w:w="960"/>
          </w:tcPr>
          <w:p>
            <w:r>
              <w:t>中轨附近</w:t>
            </w:r>
          </w:p>
        </w:tc>
        <w:tc>
          <w:tcPr>
            <w:tcW w:type="dxa" w:w="960"/>
          </w:tcPr>
          <w:p>
            <w:r>
              <w:t>25.37%</w:t>
            </w:r>
          </w:p>
        </w:tc>
        <w:tc>
          <w:tcPr>
            <w:tcW w:type="dxa" w:w="960"/>
          </w:tcPr>
          <w:p>
            <w:r>
              <w:t>0.337</w:t>
            </w:r>
          </w:p>
        </w:tc>
        <w:tc>
          <w:tcPr>
            <w:tcW w:type="dxa" w:w="960"/>
          </w:tcPr>
          <w:p>
            <w:r>
              <w:t>0.56</w:t>
            </w:r>
          </w:p>
        </w:tc>
        <w:tc>
          <w:tcPr>
            <w:tcW w:type="dxa" w:w="960"/>
          </w:tcPr>
          <w:p>
            <w:r>
              <w:t>布林带收口，说明波动率下降，股价可能处于蓄势阶段，但方向尚未确认。</w:t>
            </w:r>
          </w:p>
        </w:tc>
      </w:tr>
    </w:tbl>
    <w:p>
      <w:pPr>
        <w:pStyle w:val="Heading2"/>
      </w:pPr>
      <w:r>
        <w:t>二、重点结论</w:t>
      </w:r>
    </w:p>
    <w:p>
      <w:pPr>
        <w:pStyle w:val="ListBullet"/>
      </w:pPr>
      <w:r>
        <w:t>强信号：无。</w:t>
      </w:r>
    </w:p>
    <w:p>
      <w:pPr>
        <w:pStyle w:val="ListBullet"/>
      </w:pPr>
      <w:r>
        <w:t>中等信号：PLTR。</w:t>
      </w:r>
    </w:p>
    <w:p>
      <w:pPr>
        <w:pStyle w:val="ListBullet"/>
      </w:pPr>
      <w:r>
        <w:t>观察信号：AMZN, GLW, RKLB, NOK, IONQ。</w:t>
      </w:r>
    </w:p>
    <w:p>
      <w:pPr>
        <w:pStyle w:val="ListBullet"/>
      </w:pPr>
      <w:r>
        <w:t>今日优先复核：PLTR, AMZN, GLW, RKLB, NOK。优先看是否放量、能否站稳上轨或中轨。</w:t>
      </w:r>
    </w:p>
    <w:p>
      <w:pPr>
        <w:pStyle w:val="ListBullet"/>
      </w:pPr>
      <w:r>
        <w:t>风险提示：持续收窄只代表波动率降低，不代表方向已经确认；开口和突破也可能是假突破，需要观察成交量和中轨支撑。</w:t>
      </w:r>
    </w:p>
    <w:p>
      <w:pPr>
        <w:pStyle w:val="Heading2"/>
      </w:pPr>
      <w:r>
        <w:t>三、个股分析：技术面解读</w:t>
      </w:r>
    </w:p>
    <w:p>
      <w:pPr>
        <w:pStyle w:val="Heading3"/>
      </w:pPr>
      <w:r>
        <w:t>PLTR - Palantir Technologies Inc.</w:t>
      </w:r>
    </w:p>
    <w:p>
      <w:pPr>
        <w:pStyle w:val="ListBullet"/>
      </w:pPr>
      <w:r>
        <w:t>信号等级：B 中等信号</w:t>
      </w:r>
    </w:p>
    <w:p>
      <w:pPr>
        <w:pStyle w:val="ListBullet"/>
      </w:pPr>
      <w:r>
        <w:t>最新收盘价：$209.05</w:t>
      </w:r>
    </w:p>
    <w:p>
      <w:pPr>
        <w:pStyle w:val="ListBullet"/>
      </w:pPr>
      <w:r>
        <w:t>BOLL：上轨 $204.66；中轨 $187.00；下轨 $169.33</w:t>
      </w:r>
    </w:p>
    <w:p>
      <w:pPr>
        <w:pStyle w:val="ListBullet"/>
      </w:pPr>
      <w:r>
        <w:t>Bandwidth：18.89%；历史分位：42.26%；%B：1.124</w:t>
      </w:r>
    </w:p>
    <w:p>
      <w:pPr>
        <w:pStyle w:val="ListBullet"/>
      </w:pPr>
      <w:r>
        <w:t>成交量：当日 37479600；20日均量 24073015；量比 1.56</w:t>
      </w:r>
    </w:p>
    <w:p>
      <w:pPr>
        <w:pStyle w:val="ListBullet"/>
      </w:pPr>
      <w:r>
        <w:t>触发信号：放量突破上轨-中</w:t>
      </w:r>
    </w:p>
    <w:p>
      <w:pPr>
        <w:pStyle w:val="ListBullet"/>
      </w:pPr>
      <w:r>
        <w:t>技术面解读：股价放量突破布林线上轨，说明短线多头动能较强，可能进入强势上涨阶段，但也要注意短线过热和回踩风险。</w:t>
      </w:r>
    </w:p>
    <w:p>
      <w:pPr>
        <w:pStyle w:val="ListBullet"/>
      </w:pPr>
      <w:r>
        <w:t>是否需要下一交易日确认：是。重点观察收盘价是否继续位于关键轨道一侧，以及成交量是否延续。</w:t>
      </w:r>
    </w:p>
    <w:p>
      <w:pPr>
        <w:pStyle w:val="ListBullet"/>
      </w:pPr>
      <w:r>
        <w:t>风险提示：尚未连续两日站上上轨，需要下一交易日确认。</w:t>
      </w:r>
    </w:p>
    <w:p>
      <w:pPr>
        <w:pStyle w:val="Heading3"/>
      </w:pPr>
      <w:r>
        <w:t>AMZN - Amazon.com</w:t>
      </w:r>
    </w:p>
    <w:p>
      <w:pPr>
        <w:pStyle w:val="ListBullet"/>
      </w:pPr>
      <w:r>
        <w:t>信号等级：C 观察信号</w:t>
      </w:r>
    </w:p>
    <w:p>
      <w:pPr>
        <w:pStyle w:val="ListBullet"/>
      </w:pPr>
      <w:r>
        <w:t>最新收盘价：$262.43</w:t>
      </w:r>
    </w:p>
    <w:p>
      <w:pPr>
        <w:pStyle w:val="ListBullet"/>
      </w:pPr>
      <w:r>
        <w:t>BOLL：上轨 $261.02；中轨 $252.02；下轨 $243.02</w:t>
      </w:r>
    </w:p>
    <w:p>
      <w:pPr>
        <w:pStyle w:val="ListBullet"/>
      </w:pPr>
      <w:r>
        <w:t>Bandwidth：7.14%；历史分位：18.45%；%B：1.078</w:t>
      </w:r>
    </w:p>
    <w:p>
      <w:pPr>
        <w:pStyle w:val="ListBullet"/>
      </w:pPr>
      <w:r>
        <w:t>成交量：当日 34710500；20日均量 37060190；量比 0.94</w:t>
      </w:r>
    </w:p>
    <w:p>
      <w:pPr>
        <w:pStyle w:val="ListBullet"/>
      </w:pPr>
      <w:r>
        <w:t>触发信号：突破上轨但量能不足-弱</w:t>
      </w:r>
    </w:p>
    <w:p>
      <w:pPr>
        <w:pStyle w:val="ListBullet"/>
      </w:pPr>
      <w:r>
        <w:t>技术面解读：股价突破布林线上轨，但成交量确认不足，可能是假突破，需要下一交易日确认。</w:t>
      </w:r>
    </w:p>
    <w:p>
      <w:pPr>
        <w:pStyle w:val="ListBullet"/>
      </w:pPr>
      <w:r>
        <w:t>是否需要下一交易日确认：是。重点观察收盘价是否继续位于关键轨道一侧，以及成交量是否延续。</w:t>
      </w:r>
    </w:p>
    <w:p>
      <w:pPr>
        <w:pStyle w:val="ListBullet"/>
      </w:pPr>
      <w:r>
        <w:t>风险提示：突破上轨但成交量不足，存在假突破风险。；尚未连续两日站上上轨，需要下一交易日确认。</w:t>
      </w:r>
    </w:p>
    <w:p>
      <w:pPr>
        <w:pStyle w:val="Heading3"/>
      </w:pPr>
      <w:r>
        <w:t>GLW - Corning</w:t>
      </w:r>
    </w:p>
    <w:p>
      <w:pPr>
        <w:pStyle w:val="ListBullet"/>
      </w:pPr>
      <w:r>
        <w:t>信号等级：C 观察信号</w:t>
      </w:r>
    </w:p>
    <w:p>
      <w:pPr>
        <w:pStyle w:val="ListBullet"/>
      </w:pPr>
      <w:r>
        <w:t>最新收盘价：$156.68</w:t>
      </w:r>
    </w:p>
    <w:p>
      <w:pPr>
        <w:pStyle w:val="ListBullet"/>
      </w:pPr>
      <w:r>
        <w:t>BOLL：上轨 $168.76；中轨 $155.15；下轨 $141.55</w:t>
      </w:r>
    </w:p>
    <w:p>
      <w:pPr>
        <w:pStyle w:val="ListBullet"/>
      </w:pPr>
      <w:r>
        <w:t>Bandwidth：17.54%；历史分位：2.38%；%B：0.556</w:t>
      </w:r>
    </w:p>
    <w:p>
      <w:pPr>
        <w:pStyle w:val="ListBullet"/>
      </w:pPr>
      <w:r>
        <w:t>成交量：当日 6670800；20日均量 8136940；量比 0.82</w:t>
      </w:r>
    </w:p>
    <w:p>
      <w:pPr>
        <w:pStyle w:val="ListBullet"/>
      </w:pPr>
      <w:r>
        <w:t>触发信号：强收口：Bandwidth创近100日新低；中轨附近窄幅震荡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RKLB - Rocket Lab USA</w:t>
      </w:r>
    </w:p>
    <w:p>
      <w:pPr>
        <w:pStyle w:val="ListBullet"/>
      </w:pPr>
      <w:r>
        <w:t>信号等级：C 观察信号</w:t>
      </w:r>
    </w:p>
    <w:p>
      <w:pPr>
        <w:pStyle w:val="ListBullet"/>
      </w:pPr>
      <w:r>
        <w:t>最新收盘价：$68.21</w:t>
      </w:r>
    </w:p>
    <w:p>
      <w:pPr>
        <w:pStyle w:val="ListBullet"/>
      </w:pPr>
      <w:r>
        <w:t>BOLL：上轨 $77.03；中轨 $69.72；下轨 $62.42</w:t>
      </w:r>
    </w:p>
    <w:p>
      <w:pPr>
        <w:pStyle w:val="ListBullet"/>
      </w:pPr>
      <w:r>
        <w:t>Bandwidth：20.96%；历史分位：16.07%；%B：0.396</w:t>
      </w:r>
    </w:p>
    <w:p>
      <w:pPr>
        <w:pStyle w:val="ListBullet"/>
      </w:pPr>
      <w:r>
        <w:t>成交量：当日 14873000；20日均量 21512975；量比 0.69</w:t>
      </w:r>
    </w:p>
    <w:p>
      <w:pPr>
        <w:pStyle w:val="ListBullet"/>
      </w:pPr>
      <w:r>
        <w:t>触发信号：弱收口：Bandwidth连续18天维持低于近8个月30%分位；中轨附近窄幅震荡；低位形态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NOK - Nokia Oyj</w:t>
      </w:r>
    </w:p>
    <w:p>
      <w:pPr>
        <w:pStyle w:val="ListBullet"/>
      </w:pPr>
      <w:r>
        <w:t>信号等级：C 观察信号</w:t>
      </w:r>
    </w:p>
    <w:p>
      <w:pPr>
        <w:pStyle w:val="ListBullet"/>
      </w:pPr>
      <w:r>
        <w:t>最新收盘价：$10.36</w:t>
      </w:r>
    </w:p>
    <w:p>
      <w:pPr>
        <w:pStyle w:val="ListBullet"/>
      </w:pPr>
      <w:r>
        <w:t>BOLL：上轨 $11.07；中轨 $10.40；下轨 $9.73</w:t>
      </w:r>
    </w:p>
    <w:p>
      <w:pPr>
        <w:pStyle w:val="ListBullet"/>
      </w:pPr>
      <w:r>
        <w:t>Bandwidth：12.91%；历史分位：4.76%；%B：0.470</w:t>
      </w:r>
    </w:p>
    <w:p>
      <w:pPr>
        <w:pStyle w:val="ListBullet"/>
      </w:pPr>
      <w:r>
        <w:t>成交量：当日 50633700；20日均量 83829615；量比 0.60</w:t>
      </w:r>
    </w:p>
    <w:p>
      <w:pPr>
        <w:pStyle w:val="ListBullet"/>
      </w:pPr>
      <w:r>
        <w:t>触发信号：强收口：Bandwidth低于近8个月10%分位且持续6天；中轨附近窄幅震荡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IONQ - IonQ</w:t>
      </w:r>
    </w:p>
    <w:p>
      <w:pPr>
        <w:pStyle w:val="ListBullet"/>
      </w:pPr>
      <w:r>
        <w:t>信号等级：C 观察信号</w:t>
      </w:r>
    </w:p>
    <w:p>
      <w:pPr>
        <w:pStyle w:val="ListBullet"/>
      </w:pPr>
      <w:r>
        <w:t>最新收盘价：$39.89</w:t>
      </w:r>
    </w:p>
    <w:p>
      <w:pPr>
        <w:pStyle w:val="ListBullet"/>
      </w:pPr>
      <w:r>
        <w:t>BOLL：上轨 $46.89；中轨 $41.61；下轨 $36.33</w:t>
      </w:r>
    </w:p>
    <w:p>
      <w:pPr>
        <w:pStyle w:val="ListBullet"/>
      </w:pPr>
      <w:r>
        <w:t>Bandwidth：25.37%；历史分位：8.93%；%B：0.337</w:t>
      </w:r>
    </w:p>
    <w:p>
      <w:pPr>
        <w:pStyle w:val="ListBullet"/>
      </w:pPr>
      <w:r>
        <w:t>成交量：当日 13172900；20日均量 23596235；量比 0.56</w:t>
      </w:r>
    </w:p>
    <w:p>
      <w:pPr>
        <w:pStyle w:val="ListBullet"/>
      </w:pPr>
      <w:r>
        <w:t>触发信号：弱收口：Bandwidth连续32天维持低于近8个月30%分位；中轨附近窄幅震荡；低位形态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2"/>
      </w:pPr>
      <w:r>
        <w:t>四、数据异常或无法判断</w:t>
      </w:r>
    </w:p>
    <w:p>
      <w:r>
        <w:t>未发现数据异常或无法判断的股票。</w:t>
      </w:r>
    </w:p>
    <w:p>
      <w:pPr>
        <w:pStyle w:val="Heading2"/>
      </w:pPr>
      <w:r>
        <w:t>五、无明显 BOLL 信号</w:t>
      </w:r>
    </w:p>
    <w:p>
      <w:r>
        <w:t>XE（X-energy）, NBIS（Nebius Group）, ARM（Arm Holdings）, OPTX（Syntec Optics Holdings）, COHR（Coherent）, LITE（Lumentum Holdings）, MRVL（Marvell Technology）, INTC（Intel）, ALAB（Astera Labs）, CRWV（CoreWeave）, ORCL（Oracle）, NVTS（Navitas Semiconductor）, POET（POET Technologies）, DELL（Dell Technologies）, BB（BlackBerry）, ONDS（Ondas Holdings）, SMR（NuScale Power）, OKLO（Oklo）, QBTS（D-Wave Quantum）, NVDA（NVIDIA）, AMD（Advanced Micro Devices）, CRCL（Circle Internet Group）, FLY（Firefly Aerospace）, CBRS（Chain Bridge Bancorp）, SIVEF（Sivers Semiconductors）, SHAZ（Shaz）, LUNR（Intuitive Machines）, ASTS（AST SpaceMobile）, AAOI（Applied Optoelectronics）, SPCX（Space Exploration Technologies）, RDW（Redwire Corporation）, QCOM（QUALCOMM Incorporated）, COIN（Coinbase Global, Inc.）, VELO（Velo3D, Inc.）, MSFT（Microsoft Corporation）, GOOG（Alphabet Inc.）, AVGO（Broadcom Inc.）, AMAT（Applied Materials, Inc.）, AMKR（Amkor Technology, Inc.）, LRCX（Lam Research Corporation）, SNDK（Sandisk Corporation）, MU（Micron Technology, Inc.）, TSLA（Tesla, Inc.）, IBM（International Business Machines）, FORM（FormFactor, Inc.）, MXL（MaxLinear, Inc）, MRNA（Moderna, Inc.）, BE（Bloom Energy Corporation）</w:t>
      </w:r>
    </w:p>
    <w:p>
      <w:r>
        <w:br w:type="page"/>
      </w:r>
    </w:p>
    <w:p>
      <w:pPr>
        <w:pStyle w:val="Heading2"/>
      </w:pPr>
      <w:r>
        <w:t>六、触发股票 BOLL 图表</w:t>
      </w:r>
    </w:p>
    <w:p>
      <w:pPr>
        <w:pStyle w:val="Heading3"/>
      </w:pPr>
      <w:r>
        <w:t>PLTR - Palantir Technologies Inc.</w:t>
      </w:r>
    </w:p>
    <w:p>
      <w:r>
        <w:drawing>
          <wp:inline xmlns:a="http://schemas.openxmlformats.org/drawingml/2006/main" xmlns:pic="http://schemas.openxmlformats.org/drawingml/2006/picture">
            <wp:extent cx="6035040" cy="4054793"/>
            <wp:docPr id="1" name="Picture 1"/>
            <wp:cNvGraphicFramePr>
              <a:graphicFrameLocks noChangeAspect="1"/>
            </wp:cNvGraphicFramePr>
            <a:graphic>
              <a:graphicData uri="http://schemas.openxmlformats.org/drawingml/2006/picture">
                <pic:pic>
                  <pic:nvPicPr>
                    <pic:cNvPr id="0" name="PLTR_BOLL.png"/>
                    <pic:cNvPicPr/>
                  </pic:nvPicPr>
                  <pic:blipFill>
                    <a:blip r:embed="rId9"/>
                    <a:stretch>
                      <a:fillRect/>
                    </a:stretch>
                  </pic:blipFill>
                  <pic:spPr>
                    <a:xfrm>
                      <a:off x="0" y="0"/>
                      <a:ext cx="6035040" cy="4054793"/>
                    </a:xfrm>
                    <a:prstGeom prst="rect"/>
                  </pic:spPr>
                </pic:pic>
              </a:graphicData>
            </a:graphic>
          </wp:inline>
        </w:drawing>
      </w:r>
    </w:p>
    <w:p>
      <w:pPr>
        <w:pStyle w:val="Heading3"/>
      </w:pPr>
      <w:r>
        <w:t>AMZN - Amazon.com</w:t>
      </w:r>
    </w:p>
    <w:p>
      <w:r>
        <w:drawing>
          <wp:inline xmlns:a="http://schemas.openxmlformats.org/drawingml/2006/main" xmlns:pic="http://schemas.openxmlformats.org/drawingml/2006/picture">
            <wp:extent cx="6035040" cy="4054793"/>
            <wp:docPr id="2" name="Picture 2"/>
            <wp:cNvGraphicFramePr>
              <a:graphicFrameLocks noChangeAspect="1"/>
            </wp:cNvGraphicFramePr>
            <a:graphic>
              <a:graphicData uri="http://schemas.openxmlformats.org/drawingml/2006/picture">
                <pic:pic>
                  <pic:nvPicPr>
                    <pic:cNvPr id="0" name="AMZN_BOLL.png"/>
                    <pic:cNvPicPr/>
                  </pic:nvPicPr>
                  <pic:blipFill>
                    <a:blip r:embed="rId10"/>
                    <a:stretch>
                      <a:fillRect/>
                    </a:stretch>
                  </pic:blipFill>
                  <pic:spPr>
                    <a:xfrm>
                      <a:off x="0" y="0"/>
                      <a:ext cx="6035040" cy="4054793"/>
                    </a:xfrm>
                    <a:prstGeom prst="rect"/>
                  </pic:spPr>
                </pic:pic>
              </a:graphicData>
            </a:graphic>
          </wp:inline>
        </w:drawing>
      </w:r>
    </w:p>
    <w:p>
      <w:pPr>
        <w:pStyle w:val="Heading3"/>
      </w:pPr>
      <w:r>
        <w:t>GLW - Corning</w:t>
      </w:r>
    </w:p>
    <w:p>
      <w:r>
        <w:drawing>
          <wp:inline xmlns:a="http://schemas.openxmlformats.org/drawingml/2006/main" xmlns:pic="http://schemas.openxmlformats.org/drawingml/2006/picture">
            <wp:extent cx="6035040" cy="4054793"/>
            <wp:docPr id="3" name="Picture 3"/>
            <wp:cNvGraphicFramePr>
              <a:graphicFrameLocks noChangeAspect="1"/>
            </wp:cNvGraphicFramePr>
            <a:graphic>
              <a:graphicData uri="http://schemas.openxmlformats.org/drawingml/2006/picture">
                <pic:pic>
                  <pic:nvPicPr>
                    <pic:cNvPr id="0" name="GLW_BOLL.png"/>
                    <pic:cNvPicPr/>
                  </pic:nvPicPr>
                  <pic:blipFill>
                    <a:blip r:embed="rId11"/>
                    <a:stretch>
                      <a:fillRect/>
                    </a:stretch>
                  </pic:blipFill>
                  <pic:spPr>
                    <a:xfrm>
                      <a:off x="0" y="0"/>
                      <a:ext cx="6035040" cy="4054793"/>
                    </a:xfrm>
                    <a:prstGeom prst="rect"/>
                  </pic:spPr>
                </pic:pic>
              </a:graphicData>
            </a:graphic>
          </wp:inline>
        </w:drawing>
      </w:r>
    </w:p>
    <w:p>
      <w:pPr>
        <w:pStyle w:val="Heading3"/>
      </w:pPr>
      <w:r>
        <w:t>RKLB - Rocket Lab USA</w:t>
      </w:r>
    </w:p>
    <w:p>
      <w:r>
        <w:drawing>
          <wp:inline xmlns:a="http://schemas.openxmlformats.org/drawingml/2006/main" xmlns:pic="http://schemas.openxmlformats.org/drawingml/2006/picture">
            <wp:extent cx="6035040" cy="4054793"/>
            <wp:docPr id="4" name="Picture 4"/>
            <wp:cNvGraphicFramePr>
              <a:graphicFrameLocks noChangeAspect="1"/>
            </wp:cNvGraphicFramePr>
            <a:graphic>
              <a:graphicData uri="http://schemas.openxmlformats.org/drawingml/2006/picture">
                <pic:pic>
                  <pic:nvPicPr>
                    <pic:cNvPr id="0" name="RKLB_BOLL.png"/>
                    <pic:cNvPicPr/>
                  </pic:nvPicPr>
                  <pic:blipFill>
                    <a:blip r:embed="rId12"/>
                    <a:stretch>
                      <a:fillRect/>
                    </a:stretch>
                  </pic:blipFill>
                  <pic:spPr>
                    <a:xfrm>
                      <a:off x="0" y="0"/>
                      <a:ext cx="6035040" cy="4054793"/>
                    </a:xfrm>
                    <a:prstGeom prst="rect"/>
                  </pic:spPr>
                </pic:pic>
              </a:graphicData>
            </a:graphic>
          </wp:inline>
        </w:drawing>
      </w:r>
    </w:p>
    <w:p>
      <w:pPr>
        <w:pStyle w:val="Heading3"/>
      </w:pPr>
      <w:r>
        <w:t>NOK - Nokia Oyj</w:t>
      </w:r>
    </w:p>
    <w:p>
      <w:r>
        <w:drawing>
          <wp:inline xmlns:a="http://schemas.openxmlformats.org/drawingml/2006/main" xmlns:pic="http://schemas.openxmlformats.org/drawingml/2006/picture">
            <wp:extent cx="6035040" cy="4054793"/>
            <wp:docPr id="5" name="Picture 5"/>
            <wp:cNvGraphicFramePr>
              <a:graphicFrameLocks noChangeAspect="1"/>
            </wp:cNvGraphicFramePr>
            <a:graphic>
              <a:graphicData uri="http://schemas.openxmlformats.org/drawingml/2006/picture">
                <pic:pic>
                  <pic:nvPicPr>
                    <pic:cNvPr id="0" name="NOK_BOLL.png"/>
                    <pic:cNvPicPr/>
                  </pic:nvPicPr>
                  <pic:blipFill>
                    <a:blip r:embed="rId13"/>
                    <a:stretch>
                      <a:fillRect/>
                    </a:stretch>
                  </pic:blipFill>
                  <pic:spPr>
                    <a:xfrm>
                      <a:off x="0" y="0"/>
                      <a:ext cx="6035040" cy="4054793"/>
                    </a:xfrm>
                    <a:prstGeom prst="rect"/>
                  </pic:spPr>
                </pic:pic>
              </a:graphicData>
            </a:graphic>
          </wp:inline>
        </w:drawing>
      </w:r>
    </w:p>
    <w:p>
      <w:pPr>
        <w:pStyle w:val="Heading3"/>
      </w:pPr>
      <w:r>
        <w:t>IONQ - IonQ</w:t>
      </w:r>
    </w:p>
    <w:p>
      <w:r>
        <w:drawing>
          <wp:inline xmlns:a="http://schemas.openxmlformats.org/drawingml/2006/main" xmlns:pic="http://schemas.openxmlformats.org/drawingml/2006/picture">
            <wp:extent cx="6035040" cy="4054793"/>
            <wp:docPr id="6" name="Picture 6"/>
            <wp:cNvGraphicFramePr>
              <a:graphicFrameLocks noChangeAspect="1"/>
            </wp:cNvGraphicFramePr>
            <a:graphic>
              <a:graphicData uri="http://schemas.openxmlformats.org/drawingml/2006/picture">
                <pic:pic>
                  <pic:nvPicPr>
                    <pic:cNvPr id="0" name="IONQ_BOLL.png"/>
                    <pic:cNvPicPr/>
                  </pic:nvPicPr>
                  <pic:blipFill>
                    <a:blip r:embed="rId14"/>
                    <a:stretch>
                      <a:fillRect/>
                    </a:stretch>
                  </pic:blipFill>
                  <pic:spPr>
                    <a:xfrm>
                      <a:off x="0" y="0"/>
                      <a:ext cx="6035040" cy="4054793"/>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