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84.51</w:t>
            </w:r>
          </w:p>
        </w:tc>
        <w:tc>
          <w:tcPr>
            <w:tcW w:type="dxa" w:w="1440"/>
          </w:tcPr>
          <w:p>
            <w:r>
              <w:t>MACD处于零轴下方；RSI12跌破50；跌破20日均线；跌破200日均线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趋势修复/震荡偏强(9)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8.09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50.97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82.08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20.00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109.64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6.73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当前价格：84.51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RSI：RSI6=51.9；RSI12=48.5；RSI24=50.1；RSI12跌破50</w:t>
      </w:r>
    </w:p>
    <w:p>
      <w:pPr>
        <w:pStyle w:val="ListBullet"/>
      </w:pPr>
      <w:r>
        <w:t>MA20/50/200：MA20=86.66；MA50=83.32；MA200=86.03；跌破MA20；跌破MA200</w:t>
      </w:r>
    </w:p>
    <w:p>
      <w:pPr>
        <w:pStyle w:val="ListBullet"/>
      </w:pPr>
      <w:r>
        <w:t>成交量变化：Volume/MA20=0.95倍；成交量为20日均量的0.95倍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判断：趋势转弱。DIF位于零轴下方；KDJ暂无明显风险；RSI12跌破50。</w:t>
      </w:r>
    </w:p>
    <w:p>
      <w:r>
        <w:t>建议观察位置：当前价格 84.51；MA20 86.66；MA50 83.32；MA200 86.03。若后续有效跌破MA50，趋势进一步恶化的概率上升。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当前价格：8.09</w:t>
      </w:r>
    </w:p>
    <w:p>
      <w:r>
        <w:t>趋势过滤：趋势修复/震荡偏强；上升趋势评分：9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RSI：RSI6=43.4；RSI12=49.9；RSI24=50.0；未进入过热见顶评分</w:t>
      </w:r>
    </w:p>
    <w:p>
      <w:pPr>
        <w:pStyle w:val="ListBullet"/>
      </w:pPr>
      <w:r>
        <w:t>MA20/50/200：MA20=7.76；MA50=7.91；MA200=7.90；收盘价站上MA20；收盘价站上MA50；收盘价站上MA200；MA50高于MA200；MA20斜率向上；MA50斜率向上；近20日收益为正；近60日收益为正</w:t>
      </w:r>
    </w:p>
    <w:p>
      <w:pPr>
        <w:pStyle w:val="ListBullet"/>
      </w:pPr>
      <w:r>
        <w:t>成交量变化：Volume/MA20=0.53倍；成交量为20日均量的0.53倍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8.09；MA20 7.76；MA50 7.91；MA200 7.90。若后续有效跌破MA50，趋势进一步恶化的概率上升。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当前价格：50.97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RSI：RSI6=25.0；RSI12=34.0；RSI24=40.4；未进入过热见顶评分</w:t>
      </w:r>
    </w:p>
    <w:p>
      <w:pPr>
        <w:pStyle w:val="ListBullet"/>
      </w:pPr>
      <w:r>
        <w:t>MA20/50/200：MA20=59.63；MA50=62.85；MA200=80.75；未满足上升趋势过滤条件</w:t>
      </w:r>
    </w:p>
    <w:p>
      <w:pPr>
        <w:pStyle w:val="ListBullet"/>
      </w:pPr>
      <w:r>
        <w:t>成交量变化：Volume/MA20=4.01倍；成交量为20日均量的4.01倍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50.97；MA20 59.63；MA50 62.85；MA200 80.75。若后续有效跌破MA50，趋势进一步恶化的概率上升。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当前价格：82.08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RSI：RSI6=35.2；RSI12=42.6；RSI24=46.2；未进入过热见顶评分</w:t>
      </w:r>
    </w:p>
    <w:p>
      <w:pPr>
        <w:pStyle w:val="ListBullet"/>
      </w:pPr>
      <w:r>
        <w:t>MA20/50/200：MA20=85.64；MA50=88.43；MA200=92.59；MA50斜率向上；近60日收益为正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82.08；MA20 85.64；MA50 88.43；MA200 92.59。若后续有效跌破MA50，趋势进一步恶化的概率上升。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数据提示：历史数据不足300个交易日，当前仅296个交易日；部分长期均线可能为空。</w:t>
      </w:r>
    </w:p>
    <w:p>
      <w:r>
        <w:t>当前价格：20.00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RSI：RSI6=24.4；RSI12=36.8；RSI24=42.4；未进入过热见顶评分</w:t>
      </w:r>
    </w:p>
    <w:p>
      <w:pPr>
        <w:pStyle w:val="ListBullet"/>
      </w:pPr>
      <w:r>
        <w:t>MA20/50/200：MA20=22.21；MA50=22.91；MA200=27.82；MA20斜率向上；MA50斜率向上；近60日收益为正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20.00；MA20 22.21；MA50 22.91；MA200 27.82。若后续有效跌破MA50，趋势进一步恶化的概率上升。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当前价格：109.64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RSI：RSI6=47.3；RSI12=49.9；RSI24=49.0；未进入过热见顶评分</w:t>
      </w:r>
    </w:p>
    <w:p>
      <w:pPr>
        <w:pStyle w:val="ListBullet"/>
      </w:pPr>
      <w:r>
        <w:t>MA20/50/200：MA20=105.98；MA50=113.89；MA200=110.96；收盘价站上MA20；MA50高于MA200；MA20斜率向上；MA50斜率向上；近20日收益为正；近60日收益为正</w:t>
      </w:r>
    </w:p>
    <w:p>
      <w:pPr>
        <w:pStyle w:val="ListBullet"/>
      </w:pPr>
      <w:r>
        <w:t>成交量变化：Volume/MA20=1.59倍；成交量为20日均量的1.59倍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109.64；MA20 105.98；MA50 113.89；MA200 110.96。若后续有效跌破MA50，趋势进一步恶化的概率上升。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当前价格：13.19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RSI：RSI6=30.2；RSI12=37.9；RSI24=41.9；未进入过热见顶评分</w:t>
      </w:r>
    </w:p>
    <w:p>
      <w:pPr>
        <w:pStyle w:val="ListBullet"/>
      </w:pPr>
      <w:r>
        <w:t>MA20/50/200：MA20=14.61；MA50=15.44；MA200=20.25；MA50斜率向上</w:t>
      </w:r>
    </w:p>
    <w:p>
      <w:pPr>
        <w:pStyle w:val="ListBullet"/>
      </w:pPr>
      <w:r>
        <w:t>成交量变化：Volume/MA20=0.89倍；成交量为20日均量的0.89倍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13.19；MA20 14.61；MA50 15.44；MA200 20.25。若后续有效跌破MA50，趋势进一步恶化的概率上升。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当前价格：6.73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RSI：RSI6=22.6；RSI12=32.9；RSI24=40.5；未进入过热见顶评分</w:t>
      </w:r>
    </w:p>
    <w:p>
      <w:pPr>
        <w:pStyle w:val="ListBullet"/>
      </w:pPr>
      <w:r>
        <w:t>MA20/50/200：MA20=7.33；MA50=7.95；MA200=9.41；近60日收益为正</w:t>
      </w:r>
    </w:p>
    <w:p>
      <w:pPr>
        <w:pStyle w:val="ListBullet"/>
      </w:pPr>
      <w:r>
        <w:t>成交量变化：Volume/MA20=0.61倍；成交量为20日均量的0.61倍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6.73；MA20 7.33；MA50 7.95；MA200 9.41。若后续有效跌破MA50，趋势进一步恶化的概率上升。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