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报告日期：2026-10-09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8.09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109.64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84.51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50.97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82.08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20.00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13.19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6.73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当前价格：8.09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指标摘要：RSI6/RSI12=43.4/49.9；K/D/J=56.7/66.3/37.7；偏离MA20=4.19%；近5日涨幅=-11.49%；量能=0.53倍。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8.09；MA5 8.97；MA10 8.49；MA20 7.76。若跌破MA5，短线反弹降温；若跌破MA20，反弹结构可能明显转弱。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当前价格：109.64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指标摘要：RSI6/RSI12=47.3/49.9；K/D/J=56.0/65.0/38.1；偏离MA20=3.45%；近5日涨幅=-5.15%；量能=1.59倍。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109.64；MA5 117.96；MA10 110.95；MA20 105.98。若跌破MA5，短线反弹降温；若跌破MA20，反弹结构可能明显转弱。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当前价格：84.51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指标摘要：RSI6/RSI12=51.9/48.5；K/D/J=31.6/23.5/47.7；偏离MA20=-2.49%；近5日涨幅=4.01%；量能=0.95倍。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84.51；MA5 82.72；MA10 82.94；MA20 86.66。若跌破MA5，短线反弹降温；若跌破MA20，反弹结构可能明显转弱。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当前价格：50.97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指标摘要：RSI6/RSI12=25.0/34.0；K/D/J=30.0/34.5/21.0；偏离MA20=-14.53%；近5日涨幅=-12.81%；量能=4.01倍。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50.97；MA5 58.02；MA10 58.49；MA20 59.63。若跌破MA5，短线反弹降温；若跌破MA20，反弹结构可能明显转弱。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当前价格：82.08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指标摘要：RSI6/RSI12=35.2/42.6；K/D/J=32.9/48.4/1.8；偏离MA20=-4.16%；近5日涨幅=-8.41%；量能=0.66倍。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82.08；MA5 86.24；MA10 86.75；MA20 85.64。若跌破MA5，短线反弹降温；若跌破MA20，反弹结构可能明显转弱。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当前价格：20.00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指标摘要：RSI6/RSI12=24.4/36.8；K/D/J=18.0/30.2/-6.4；偏离MA20=-9.96%；近5日涨幅=-14.24%；量能=0.79倍。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20.00；MA5 21.52；MA10 22.39；MA20 22.21。若跌破MA5，短线反弹降温；若跌破MA20，反弹结构可能明显转弱。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当前价格：13.19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指标摘要：RSI6/RSI12=30.2/37.9；K/D/J=17.7/26.3/0.3；偏离MA20=-9.73%；近5日涨幅=-10.33%；量能=0.89倍。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13.19；MA5 14.13；MA10 14.34；MA20 14.61。若跌破MA5，短线反弹降温；若跌破MA20，反弹结构可能明显转弱。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当前价格：6.73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指标摘要：RSI6/RSI12=22.6/32.9；K/D/J=15.6/23.3/0.2；偏离MA20=-8.21%；近5日涨幅=-7.04%；量能=0.61倍。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6.73；MA5 7.12；MA10 7.24；MA20 7.33。若跌破MA5，短线反弹降温；若跌破MA20，反弹结构可能明显转弱。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