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- 2026-08-21</w:t>
      </w:r>
    </w:p>
    <w:p>
      <w:pPr>
        <w:pStyle w:val="ListBullet"/>
      </w:pPr>
      <w:r>
        <w:t>生成时间（美东）：2026-08-23 22:49:54 EDT</w:t>
      </w:r>
    </w:p>
    <w:p>
      <w:pPr>
        <w:pStyle w:val="ListBullet"/>
      </w:pPr>
      <w:r>
        <w:t>最新可用交易日：2026-08-21</w:t>
      </w:r>
    </w:p>
    <w:p>
      <w:pPr>
        <w:pStyle w:val="ListBullet"/>
      </w:pPr>
      <w:r>
        <w:t>数据源优先级：Yahoo Chart API -&gt; yfinance（可选备用，无需额外配置）</w:t>
      </w:r>
    </w:p>
    <w:p>
      <w:pPr>
        <w:pStyle w:val="ListBullet"/>
      </w:pPr>
      <w:r>
        <w:t>提醒：当前美东日期不是美股交易日，本次使用最近可用交易日的收盘数据计算。</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QSI</w:t>
            </w:r>
          </w:p>
        </w:tc>
        <w:tc>
          <w:tcPr>
            <w:tcW w:type="dxa" w:w="960"/>
          </w:tcPr>
          <w:p>
            <w:r>
              <w:t>Quantum-Si Incorporated</w:t>
            </w:r>
          </w:p>
        </w:tc>
        <w:tc>
          <w:tcPr>
            <w:tcW w:type="dxa" w:w="960"/>
          </w:tcPr>
          <w:p>
            <w:r>
              <w:t>A 强信号</w:t>
            </w:r>
          </w:p>
        </w:tc>
        <w:tc>
          <w:tcPr>
            <w:tcW w:type="dxa" w:w="960"/>
          </w:tcPr>
          <w:p>
            <w:r>
              <w:t>布林带向上开口（最近1天）；成交量放大；中轨反弹并接近上轨；成交量放大</w:t>
            </w:r>
          </w:p>
        </w:tc>
        <w:tc>
          <w:tcPr>
            <w:tcW w:type="dxa" w:w="960"/>
          </w:tcPr>
          <w:p>
            <w:r>
              <w:t>靠近上轨</w:t>
            </w:r>
          </w:p>
        </w:tc>
        <w:tc>
          <w:tcPr>
            <w:tcW w:type="dxa" w:w="960"/>
          </w:tcPr>
          <w:p>
            <w:r>
              <w:t>19.84%</w:t>
            </w:r>
          </w:p>
        </w:tc>
        <w:tc>
          <w:tcPr>
            <w:tcW w:type="dxa" w:w="960"/>
          </w:tcPr>
          <w:p>
            <w:r>
              <w:t>0.944</w:t>
            </w:r>
          </w:p>
        </w:tc>
        <w:tc>
          <w:tcPr>
            <w:tcW w:type="dxa" w:w="960"/>
          </w:tcPr>
          <w:p>
            <w:r>
              <w:t>2.50</w:t>
            </w:r>
          </w:p>
        </w:tc>
        <w:tc>
          <w:tcPr>
            <w:tcW w:type="dxa" w:w="960"/>
          </w:tcPr>
          <w:p>
            <w:r>
              <w:t>布林带向上开口，说明波动率开始放大，股价接近上轨，可能进入趋势启动观察阶段，需要继续结合突</w:t>
            </w:r>
          </w:p>
        </w:tc>
      </w:tr>
      <w:tr>
        <w:tc>
          <w:tcPr>
            <w:tcW w:type="dxa" w:w="960"/>
          </w:tcPr>
          <w:p>
            <w:r>
              <w:t>COIN</w:t>
            </w:r>
          </w:p>
        </w:tc>
        <w:tc>
          <w:tcPr>
            <w:tcW w:type="dxa" w:w="960"/>
          </w:tcPr>
          <w:p>
            <w:r>
              <w:t>Coinbase Global, Inc.</w:t>
            </w:r>
          </w:p>
        </w:tc>
        <w:tc>
          <w:tcPr>
            <w:tcW w:type="dxa" w:w="960"/>
          </w:tcPr>
          <w:p>
            <w:r>
              <w:t>A 强信号</w:t>
            </w:r>
          </w:p>
        </w:tc>
        <w:tc>
          <w:tcPr>
            <w:tcW w:type="dxa" w:w="960"/>
          </w:tcPr>
          <w:p>
            <w:r>
              <w:t>布林带向上开口（最近2天）；成交量放大；放量突破上轨-强；连续2日站上上轨</w:t>
            </w:r>
          </w:p>
        </w:tc>
        <w:tc>
          <w:tcPr>
            <w:tcW w:type="dxa" w:w="960"/>
          </w:tcPr>
          <w:p>
            <w:r>
              <w:t>突破上轨</w:t>
            </w:r>
          </w:p>
        </w:tc>
        <w:tc>
          <w:tcPr>
            <w:tcW w:type="dxa" w:w="960"/>
          </w:tcPr>
          <w:p>
            <w:r>
              <w:t>27.37%</w:t>
            </w:r>
          </w:p>
        </w:tc>
        <w:tc>
          <w:tcPr>
            <w:tcW w:type="dxa" w:w="960"/>
          </w:tcPr>
          <w:p>
            <w:r>
              <w:t>1.220</w:t>
            </w:r>
          </w:p>
        </w:tc>
        <w:tc>
          <w:tcPr>
            <w:tcW w:type="dxa" w:w="960"/>
          </w:tcPr>
          <w:p>
            <w:r>
              <w:t>2.40</w:t>
            </w:r>
          </w:p>
        </w:tc>
        <w:tc>
          <w:tcPr>
            <w:tcW w:type="dxa" w:w="960"/>
          </w:tcPr>
          <w:p>
            <w:r>
              <w:t>股价放量突破布林线上轨，说明短线多头动能较强，可能进入强势上涨阶段，但也要注意短线过热和回</w:t>
            </w:r>
          </w:p>
        </w:tc>
      </w:tr>
      <w:tr>
        <w:tc>
          <w:tcPr>
            <w:tcW w:type="dxa" w:w="960"/>
          </w:tcPr>
          <w:p>
            <w:r>
              <w:t>CRCL</w:t>
            </w:r>
          </w:p>
        </w:tc>
        <w:tc>
          <w:tcPr>
            <w:tcW w:type="dxa" w:w="960"/>
          </w:tcPr>
          <w:p>
            <w:r>
              <w:t>Circle Internet Group</w:t>
            </w:r>
          </w:p>
        </w:tc>
        <w:tc>
          <w:tcPr>
            <w:tcW w:type="dxa" w:w="960"/>
          </w:tcPr>
          <w:p>
            <w:r>
              <w:t>A 强信号</w:t>
            </w:r>
          </w:p>
        </w:tc>
        <w:tc>
          <w:tcPr>
            <w:tcW w:type="dxa" w:w="960"/>
          </w:tcPr>
          <w:p>
            <w:r>
              <w:t>布林带向上开口（最近5天）；成交量放大；放量突破上轨-强；连续2日站上上轨</w:t>
            </w:r>
          </w:p>
        </w:tc>
        <w:tc>
          <w:tcPr>
            <w:tcW w:type="dxa" w:w="960"/>
          </w:tcPr>
          <w:p>
            <w:r>
              <w:t>突破上轨</w:t>
            </w:r>
          </w:p>
        </w:tc>
        <w:tc>
          <w:tcPr>
            <w:tcW w:type="dxa" w:w="960"/>
          </w:tcPr>
          <w:p>
            <w:r>
              <w:t>42.69%</w:t>
            </w:r>
          </w:p>
        </w:tc>
        <w:tc>
          <w:tcPr>
            <w:tcW w:type="dxa" w:w="960"/>
          </w:tcPr>
          <w:p>
            <w:r>
              <w:t>1.127</w:t>
            </w:r>
          </w:p>
        </w:tc>
        <w:tc>
          <w:tcPr>
            <w:tcW w:type="dxa" w:w="960"/>
          </w:tcPr>
          <w:p>
            <w:r>
              <w:t>1.99</w:t>
            </w:r>
          </w:p>
        </w:tc>
        <w:tc>
          <w:tcPr>
            <w:tcW w:type="dxa" w:w="960"/>
          </w:tcPr>
          <w:p>
            <w:r>
              <w:t>股价放量突破布林线上轨，说明短线多头动能较强，可能进入强势上涨阶段，但也要注意短线过热和回</w:t>
            </w:r>
          </w:p>
        </w:tc>
      </w:tr>
      <w:tr>
        <w:tc>
          <w:tcPr>
            <w:tcW w:type="dxa" w:w="960"/>
          </w:tcPr>
          <w:p>
            <w:r>
              <w:t>ASTS</w:t>
            </w:r>
          </w:p>
        </w:tc>
        <w:tc>
          <w:tcPr>
            <w:tcW w:type="dxa" w:w="960"/>
          </w:tcPr>
          <w:p>
            <w:r>
              <w:t>AST SpaceMobile</w:t>
            </w:r>
          </w:p>
        </w:tc>
        <w:tc>
          <w:tcPr>
            <w:tcW w:type="dxa" w:w="960"/>
          </w:tcPr>
          <w:p>
            <w:r>
              <w:t>C 观察信号</w:t>
            </w:r>
          </w:p>
        </w:tc>
        <w:tc>
          <w:tcPr>
            <w:tcW w:type="dxa" w:w="960"/>
          </w:tcPr>
          <w:p>
            <w:r>
              <w:t>弱收口：Bandwidth低于近8个月30%分位且最近8个交易日及以上连续下降；中轨附近窄幅震荡；低位形态</w:t>
            </w:r>
          </w:p>
        </w:tc>
        <w:tc>
          <w:tcPr>
            <w:tcW w:type="dxa" w:w="960"/>
          </w:tcPr>
          <w:p>
            <w:r>
              <w:t>中轨附近</w:t>
            </w:r>
          </w:p>
        </w:tc>
        <w:tc>
          <w:tcPr>
            <w:tcW w:type="dxa" w:w="960"/>
          </w:tcPr>
          <w:p>
            <w:r>
              <w:t>35.53%</w:t>
            </w:r>
          </w:p>
        </w:tc>
        <w:tc>
          <w:tcPr>
            <w:tcW w:type="dxa" w:w="960"/>
          </w:tcPr>
          <w:p>
            <w:r>
              <w:t>0.608</w:t>
            </w:r>
          </w:p>
        </w:tc>
        <w:tc>
          <w:tcPr>
            <w:tcW w:type="dxa" w:w="960"/>
          </w:tcPr>
          <w:p>
            <w:r>
              <w:t>0.96</w:t>
            </w:r>
          </w:p>
        </w:tc>
        <w:tc>
          <w:tcPr>
            <w:tcW w:type="dxa" w:w="960"/>
          </w:tcPr>
          <w:p>
            <w:r>
              <w:t>布林带收口，说明波动率下降，股价可能处于蓄势阶段，但方向尚未确认。</w:t>
            </w:r>
          </w:p>
        </w:tc>
      </w:tr>
      <w:tr>
        <w:tc>
          <w:tcPr>
            <w:tcW w:type="dxa" w:w="960"/>
          </w:tcPr>
          <w:p>
            <w:r>
              <w:t>INOD</w:t>
            </w:r>
          </w:p>
        </w:tc>
        <w:tc>
          <w:tcPr>
            <w:tcW w:type="dxa" w:w="960"/>
          </w:tcPr>
          <w:p>
            <w:r>
              <w:t>Innodata</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20.96%</w:t>
            </w:r>
          </w:p>
        </w:tc>
        <w:tc>
          <w:tcPr>
            <w:tcW w:type="dxa" w:w="960"/>
          </w:tcPr>
          <w:p>
            <w:r>
              <w:t>0.615</w:t>
            </w:r>
          </w:p>
        </w:tc>
        <w:tc>
          <w:tcPr>
            <w:tcW w:type="dxa" w:w="960"/>
          </w:tcPr>
          <w:p>
            <w:r>
              <w:t>0.62</w:t>
            </w:r>
          </w:p>
        </w:tc>
        <w:tc>
          <w:tcPr>
            <w:tcW w:type="dxa" w:w="960"/>
          </w:tcPr>
          <w:p>
            <w:r>
              <w:t>布林带收口，说明波动率下降，股价可能处于蓄势阶段，但方向尚未确认。</w:t>
            </w:r>
          </w:p>
        </w:tc>
      </w:tr>
      <w:tr>
        <w:tc>
          <w:tcPr>
            <w:tcW w:type="dxa" w:w="960"/>
          </w:tcPr>
          <w:p>
            <w:r>
              <w:t>SIVEF</w:t>
            </w:r>
          </w:p>
        </w:tc>
        <w:tc>
          <w:tcPr>
            <w:tcW w:type="dxa" w:w="960"/>
          </w:tcPr>
          <w:p>
            <w:r>
              <w:t>Sivers Semiconductors</w:t>
            </w:r>
          </w:p>
        </w:tc>
        <w:tc>
          <w:tcPr>
            <w:tcW w:type="dxa" w:w="960"/>
          </w:tcPr>
          <w:p>
            <w:r>
              <w:t>C 观察信号</w:t>
            </w:r>
          </w:p>
        </w:tc>
        <w:tc>
          <w:tcPr>
            <w:tcW w:type="dxa" w:w="960"/>
          </w:tcPr>
          <w:p>
            <w:r>
              <w:t>弱收口：Bandwidth连续15天维持低于近8个月30%分位；中轨附近窄幅震荡；低位形态</w:t>
            </w:r>
          </w:p>
        </w:tc>
        <w:tc>
          <w:tcPr>
            <w:tcW w:type="dxa" w:w="960"/>
          </w:tcPr>
          <w:p>
            <w:r>
              <w:t>中轨附近</w:t>
            </w:r>
          </w:p>
        </w:tc>
        <w:tc>
          <w:tcPr>
            <w:tcW w:type="dxa" w:w="960"/>
          </w:tcPr>
          <w:p>
            <w:r>
              <w:t>56.70%</w:t>
            </w:r>
          </w:p>
        </w:tc>
        <w:tc>
          <w:tcPr>
            <w:tcW w:type="dxa" w:w="960"/>
          </w:tcPr>
          <w:p>
            <w:r>
              <w:t>0.553</w:t>
            </w:r>
          </w:p>
        </w:tc>
        <w:tc>
          <w:tcPr>
            <w:tcW w:type="dxa" w:w="960"/>
          </w:tcPr>
          <w:p>
            <w:r>
              <w:t>0.33</w:t>
            </w:r>
          </w:p>
        </w:tc>
        <w:tc>
          <w:tcPr>
            <w:tcW w:type="dxa" w:w="960"/>
          </w:tcPr>
          <w:p>
            <w:r>
              <w:t>布林带收口，说明波动率下降，股价可能处于蓄势阶段，但方向尚未确认。</w:t>
            </w:r>
          </w:p>
        </w:tc>
      </w:tr>
    </w:tbl>
    <w:p>
      <w:pPr>
        <w:pStyle w:val="Heading2"/>
      </w:pPr>
      <w:r>
        <w:t>二、重点结论</w:t>
      </w:r>
    </w:p>
    <w:p>
      <w:pPr>
        <w:pStyle w:val="ListBullet"/>
      </w:pPr>
      <w:r>
        <w:t>强信号：QSI, COIN, CRCL。</w:t>
      </w:r>
    </w:p>
    <w:p>
      <w:pPr>
        <w:pStyle w:val="ListBullet"/>
      </w:pPr>
      <w:r>
        <w:t>中等信号：无。</w:t>
      </w:r>
    </w:p>
    <w:p>
      <w:pPr>
        <w:pStyle w:val="ListBullet"/>
      </w:pPr>
      <w:r>
        <w:t>观察信号：ASTS, INOD, SIVEF。</w:t>
      </w:r>
    </w:p>
    <w:p>
      <w:pPr>
        <w:pStyle w:val="ListBullet"/>
      </w:pPr>
      <w:r>
        <w:t>今日优先复核：QSI, COIN, CRCL, ASTS, INOD。优先看是否放量、能否站稳上轨或中轨。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QSI - Quantum-Si Incorporated</w:t>
      </w:r>
    </w:p>
    <w:p>
      <w:pPr>
        <w:pStyle w:val="ListBullet"/>
      </w:pPr>
      <w:r>
        <w:t>信号等级：A 强信号</w:t>
      </w:r>
    </w:p>
    <w:p>
      <w:pPr>
        <w:pStyle w:val="ListBullet"/>
      </w:pPr>
      <w:r>
        <w:t>最新收盘价：$0.83</w:t>
      </w:r>
    </w:p>
    <w:p>
      <w:pPr>
        <w:pStyle w:val="ListBullet"/>
      </w:pPr>
      <w:r>
        <w:t>BOLL：上轨 $0.84；中轨 $0.77；下轨 $0.69</w:t>
      </w:r>
    </w:p>
    <w:p>
      <w:pPr>
        <w:pStyle w:val="ListBullet"/>
      </w:pPr>
      <w:r>
        <w:t>Bandwidth：19.84%；历史分位：19.64%；%B：0.944</w:t>
      </w:r>
    </w:p>
    <w:p>
      <w:pPr>
        <w:pStyle w:val="ListBullet"/>
      </w:pPr>
      <w:r>
        <w:t>成交量：当日 7811600；20日均量 3123770；量比 2.50</w:t>
      </w:r>
    </w:p>
    <w:p>
      <w:pPr>
        <w:pStyle w:val="ListBullet"/>
      </w:pPr>
      <w:r>
        <w:t>触发信号：布林带向上开口（最近1天）；成交量放大；中轨反弹并接近上轨；成交量放大；低位形态</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COIN - Coinbase Global, Inc.</w:t>
      </w:r>
    </w:p>
    <w:p>
      <w:pPr>
        <w:pStyle w:val="ListBullet"/>
      </w:pPr>
      <w:r>
        <w:t>信号等级：A 强信号</w:t>
      </w:r>
    </w:p>
    <w:p>
      <w:pPr>
        <w:pStyle w:val="ListBullet"/>
      </w:pPr>
      <w:r>
        <w:t>最新收盘价：$186.49</w:t>
      </w:r>
    </w:p>
    <w:p>
      <w:pPr>
        <w:pStyle w:val="ListBullet"/>
      </w:pPr>
      <w:r>
        <w:t>BOLL：上轨 $177.12；中轨 $155.80；下轨 $134.48</w:t>
      </w:r>
    </w:p>
    <w:p>
      <w:pPr>
        <w:pStyle w:val="ListBullet"/>
      </w:pPr>
      <w:r>
        <w:t>Bandwidth：27.37%；历史分位：58.33%；%B：1.220</w:t>
      </w:r>
    </w:p>
    <w:p>
      <w:pPr>
        <w:pStyle w:val="ListBullet"/>
      </w:pPr>
      <w:r>
        <w:t>成交量：当日 22583200；20日均量 9410845；量比 2.40</w:t>
      </w:r>
    </w:p>
    <w:p>
      <w:pPr>
        <w:pStyle w:val="ListBullet"/>
      </w:pPr>
      <w:r>
        <w:t>触发信号：布林带向上开口（最近2天）；成交量放大；放量突破上轨-强；连续2日站上上轨；中轨反弹并接近上轨；成交量放大；低位形态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CRCL - Circle Internet Group</w:t>
      </w:r>
    </w:p>
    <w:p>
      <w:pPr>
        <w:pStyle w:val="ListBullet"/>
      </w:pPr>
      <w:r>
        <w:t>信号等级：A 强信号</w:t>
      </w:r>
    </w:p>
    <w:p>
      <w:pPr>
        <w:pStyle w:val="ListBullet"/>
      </w:pPr>
      <w:r>
        <w:t>最新收盘价：$87.98</w:t>
      </w:r>
    </w:p>
    <w:p>
      <w:pPr>
        <w:pStyle w:val="ListBullet"/>
      </w:pPr>
      <w:r>
        <w:t>BOLL：上轨 $84.22；中轨 $69.40；下轨 $54.59</w:t>
      </w:r>
    </w:p>
    <w:p>
      <w:pPr>
        <w:pStyle w:val="ListBullet"/>
      </w:pPr>
      <w:r>
        <w:t>Bandwidth：42.69%；历史分位：60.12%；%B：1.127</w:t>
      </w:r>
    </w:p>
    <w:p>
      <w:pPr>
        <w:pStyle w:val="ListBullet"/>
      </w:pPr>
      <w:r>
        <w:t>成交量：当日 25824400；20日均量 12996045；量比 1.99</w:t>
      </w:r>
    </w:p>
    <w:p>
      <w:pPr>
        <w:pStyle w:val="ListBullet"/>
      </w:pPr>
      <w:r>
        <w:t>触发信号：布林带向上开口（最近5天）；成交量放大；放量突破上轨-强；连续2日站上上轨</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ASTS - AST SpaceMobile</w:t>
      </w:r>
    </w:p>
    <w:p>
      <w:pPr>
        <w:pStyle w:val="ListBullet"/>
      </w:pPr>
      <w:r>
        <w:t>信号等级：C 观察信号</w:t>
      </w:r>
    </w:p>
    <w:p>
      <w:pPr>
        <w:pStyle w:val="ListBullet"/>
      </w:pPr>
      <w:r>
        <w:t>最新收盘价：$68.65</w:t>
      </w:r>
    </w:p>
    <w:p>
      <w:pPr>
        <w:pStyle w:val="ListBullet"/>
      </w:pPr>
      <w:r>
        <w:t>BOLL：上轨 $77.86；中轨 $66.12；下轨 $54.37</w:t>
      </w:r>
    </w:p>
    <w:p>
      <w:pPr>
        <w:pStyle w:val="ListBullet"/>
      </w:pPr>
      <w:r>
        <w:t>Bandwidth：35.53%；历史分位：27.98%；%B：0.608</w:t>
      </w:r>
    </w:p>
    <w:p>
      <w:pPr>
        <w:pStyle w:val="ListBullet"/>
      </w:pPr>
      <w:r>
        <w:t>成交量：当日 11222500；20日均量 11631140；量比 0.96</w:t>
      </w:r>
    </w:p>
    <w:p>
      <w:pPr>
        <w:pStyle w:val="ListBullet"/>
      </w:pPr>
      <w:r>
        <w:t>触发信号：弱收口：Bandwidth低于近8个月30%分位且最近8个交易日及以上连续下降；中轨附近窄幅震荡；低位形态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INOD - Innodata</w:t>
      </w:r>
    </w:p>
    <w:p>
      <w:pPr>
        <w:pStyle w:val="ListBullet"/>
      </w:pPr>
      <w:r>
        <w:t>信号等级：C 观察信号</w:t>
      </w:r>
    </w:p>
    <w:p>
      <w:pPr>
        <w:pStyle w:val="ListBullet"/>
      </w:pPr>
      <w:r>
        <w:t>最新收盘价：$64.21</w:t>
      </w:r>
    </w:p>
    <w:p>
      <w:pPr>
        <w:pStyle w:val="ListBullet"/>
      </w:pPr>
      <w:r>
        <w:t>BOLL：上轨 $69.27；中轨 $62.70；下轨 $56.13</w:t>
      </w:r>
    </w:p>
    <w:p>
      <w:pPr>
        <w:pStyle w:val="ListBullet"/>
      </w:pPr>
      <w:r>
        <w:t>Bandwidth：20.96%；历史分位：11.90%；%B：0.615</w:t>
      </w:r>
    </w:p>
    <w:p>
      <w:pPr>
        <w:pStyle w:val="ListBullet"/>
      </w:pPr>
      <w:r>
        <w:t>成交量：当日 972800；20日均量 1580810；量比 0.62</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SIVEF - Sivers Semiconductors</w:t>
      </w:r>
    </w:p>
    <w:p>
      <w:pPr>
        <w:pStyle w:val="ListBullet"/>
      </w:pPr>
      <w:r>
        <w:t>信号等级：C 观察信号</w:t>
      </w:r>
    </w:p>
    <w:p>
      <w:pPr>
        <w:pStyle w:val="ListBullet"/>
      </w:pPr>
      <w:r>
        <w:t>最新收盘价：$3.91</w:t>
      </w:r>
    </w:p>
    <w:p>
      <w:pPr>
        <w:pStyle w:val="ListBullet"/>
      </w:pPr>
      <w:r>
        <w:t>BOLL：上轨 $4.87；中轨 $3.80；下轨 $2.72</w:t>
      </w:r>
    </w:p>
    <w:p>
      <w:pPr>
        <w:pStyle w:val="ListBullet"/>
      </w:pPr>
      <w:r>
        <w:t>Bandwidth：56.70%；历史分位：13.95%；%B：0.553</w:t>
      </w:r>
    </w:p>
    <w:p>
      <w:pPr>
        <w:pStyle w:val="ListBullet"/>
      </w:pPr>
      <w:r>
        <w:t>成交量：当日 764417；20日均量 2291988；量比 0.33</w:t>
      </w:r>
    </w:p>
    <w:p>
      <w:pPr>
        <w:pStyle w:val="ListBullet"/>
      </w:pPr>
      <w:r>
        <w:t>触发信号：弱收口：Bandwidth连续15天维持低于近8个月30%分位；中轨附近窄幅震荡；低位形态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tbl>
      <w:tblPr>
        <w:tblStyle w:val="TableGrid"/>
        <w:tblW w:type="auto" w:w="0"/>
        <w:tblLook w:firstColumn="1" w:firstRow="1" w:lastColumn="0" w:lastRow="0" w:noHBand="0" w:noVBand="1" w:val="04A0"/>
      </w:tblPr>
      <w:tblGrid>
        <w:gridCol w:w="2880"/>
        <w:gridCol w:w="2880"/>
        <w:gridCol w:w="2880"/>
      </w:tblGrid>
      <w:tr>
        <w:tc>
          <w:tcPr>
            <w:tcW w:type="dxa" w:w="2880"/>
          </w:tcPr>
          <w:p>
            <w:r>
              <w:t>股票代码</w:t>
            </w:r>
          </w:p>
        </w:tc>
        <w:tc>
          <w:tcPr>
            <w:tcW w:type="dxa" w:w="2880"/>
          </w:tcPr>
          <w:p>
            <w:r>
              <w:t>公司名称</w:t>
            </w:r>
          </w:p>
        </w:tc>
        <w:tc>
          <w:tcPr>
            <w:tcW w:type="dxa" w:w="2880"/>
          </w:tcPr>
          <w:p>
            <w:r>
              <w:t>原因</w:t>
            </w:r>
          </w:p>
        </w:tc>
      </w:tr>
      <w:tr>
        <w:tc>
          <w:tcPr>
            <w:tcW w:type="dxa" w:w="2880"/>
          </w:tcPr>
          <w:p>
            <w:r>
              <w:t>SPCX</w:t>
            </w:r>
          </w:p>
        </w:tc>
        <w:tc>
          <w:tcPr>
            <w:tcW w:type="dxa" w:w="2880"/>
          </w:tcPr>
          <w:p>
            <w:r>
              <w:t>Space Exploration Technologies</w:t>
            </w:r>
          </w:p>
        </w:tc>
        <w:tc>
          <w:tcPr>
            <w:tcW w:type="dxa" w:w="2880"/>
          </w:tcPr>
          <w:p>
            <w:r>
              <w:t>数据长度不足，无法稳定计算 BOLL</w:t>
            </w:r>
          </w:p>
        </w:tc>
      </w:tr>
    </w:tbl>
    <w:p>
      <w:pPr>
        <w:pStyle w:val="Heading2"/>
      </w:pPr>
      <w:r>
        <w:t>五、无明显 BOLL 信号</w:t>
      </w:r>
    </w:p>
    <w:p>
      <w:r>
        <w:t>NOK（Nokia Oyj）, XE（X-energy）, RKLB（Rocket Lab USA）, NBIS（Nebius Group）, ARM（Arm Holdings）, OPTX（Syntec Optics Holdings）, GLW（Corning）, COHR（Coherent）, LITE（Lumentum Holdings）, MRVL（Marvell Technology）, INTC（Intel）, ALAB（Astera Labs）, FLNC（Fluence Energy）, CRWV（CoreWeave）, ORCL（Oracle）, NVTS（Navitas Semiconductor）, POET（POET Technologies）, DELL（Dell Technologies）, BB（BlackBerry）, ONDS（Ondas Holdings）, SMR（NuScale Power）, OKLO（Oklo）, IONQ（IonQ）, QBTS（D-Wave Quantum）, NVDA（NVIDIA）, AMZN（Amazon.com）, AMD（Advanced Micro Devices）, FLY（Firefly Aerospace）, CBRS（Chain Bridge Bancorp）, CIEN（Ciena）, SHAZ（Shaz）, LUNR（Intuitive Machines）, AAOI（Applied Optoelectronics）, RDW（Redwire Corporation）, QCOM（QUALCOMM Incorporated）, CORZ（Core Scientific, Inc.）, IREN（IREN LIMITED）, VELO（Velo3D, Inc.）, MSFT（Microsoft Corporation）, GOOG（Alphabet Inc.）, AVGO（Broadcom Inc.）, AMAT（Applied Materials, Inc.）, AMKR（Amkor Technology, Inc.）, LRCX（Lam Research Corporation）, SNDK（Sandisk Corporation）, MU（Micron Technology, Inc.）, VICR（Vicor Corporation）, NNE（Nano Nuclear Energy Inc.）, CCJ（Cameco Corporation）, VST（Vistra Corp.）, NEE（NextEra Energy, Inc.）, BWAY（Brainsway Ltd.）, MANE（Veradermics, Incorporated）, ERAS（Erasca, Inc.）, CRSP（CRISPR Therapeutics AG）, IBRX（ImmunityBio, Inc.）, INSP（Inspire Medical Systems, Inc.）</w:t>
      </w:r>
    </w:p>
    <w:p>
      <w:r>
        <w:br w:type="page"/>
      </w:r>
    </w:p>
    <w:p>
      <w:pPr>
        <w:pStyle w:val="Heading2"/>
      </w:pPr>
      <w:r>
        <w:t>六、触发股票 BOLL 图表</w:t>
      </w:r>
    </w:p>
    <w:p>
      <w:pPr>
        <w:pStyle w:val="Heading3"/>
      </w:pPr>
      <w:r>
        <w:t>QSI - Quantum-Si Incorporated</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QSI_BOLL.png"/>
                    <pic:cNvPicPr/>
                  </pic:nvPicPr>
                  <pic:blipFill>
                    <a:blip r:embed="rId9"/>
                    <a:stretch>
                      <a:fillRect/>
                    </a:stretch>
                  </pic:blipFill>
                  <pic:spPr>
                    <a:xfrm>
                      <a:off x="0" y="0"/>
                      <a:ext cx="6035040" cy="4054793"/>
                    </a:xfrm>
                    <a:prstGeom prst="rect"/>
                  </pic:spPr>
                </pic:pic>
              </a:graphicData>
            </a:graphic>
          </wp:inline>
        </w:drawing>
      </w:r>
    </w:p>
    <w:p>
      <w:pPr>
        <w:pStyle w:val="Heading3"/>
      </w:pPr>
      <w:r>
        <w:t>COIN - Coinbase Global, Inc.</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COIN_BOLL.png"/>
                    <pic:cNvPicPr/>
                  </pic:nvPicPr>
                  <pic:blipFill>
                    <a:blip r:embed="rId10"/>
                    <a:stretch>
                      <a:fillRect/>
                    </a:stretch>
                  </pic:blipFill>
                  <pic:spPr>
                    <a:xfrm>
                      <a:off x="0" y="0"/>
                      <a:ext cx="6035040" cy="4054793"/>
                    </a:xfrm>
                    <a:prstGeom prst="rect"/>
                  </pic:spPr>
                </pic:pic>
              </a:graphicData>
            </a:graphic>
          </wp:inline>
        </w:drawing>
      </w:r>
    </w:p>
    <w:p>
      <w:pPr>
        <w:pStyle w:val="Heading3"/>
      </w:pPr>
      <w:r>
        <w:t>CRCL - Circle Internet Group</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CRCL_BOLL.png"/>
                    <pic:cNvPicPr/>
                  </pic:nvPicPr>
                  <pic:blipFill>
                    <a:blip r:embed="rId11"/>
                    <a:stretch>
                      <a:fillRect/>
                    </a:stretch>
                  </pic:blipFill>
                  <pic:spPr>
                    <a:xfrm>
                      <a:off x="0" y="0"/>
                      <a:ext cx="6035040" cy="4054793"/>
                    </a:xfrm>
                    <a:prstGeom prst="rect"/>
                  </pic:spPr>
                </pic:pic>
              </a:graphicData>
            </a:graphic>
          </wp:inline>
        </w:drawing>
      </w:r>
    </w:p>
    <w:p>
      <w:pPr>
        <w:pStyle w:val="Heading3"/>
      </w:pPr>
      <w:r>
        <w:t>ASTS - AST SpaceMobile</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ASTS_BOLL.png"/>
                    <pic:cNvPicPr/>
                  </pic:nvPicPr>
                  <pic:blipFill>
                    <a:blip r:embed="rId12"/>
                    <a:stretch>
                      <a:fillRect/>
                    </a:stretch>
                  </pic:blipFill>
                  <pic:spPr>
                    <a:xfrm>
                      <a:off x="0" y="0"/>
                      <a:ext cx="6035040" cy="4054793"/>
                    </a:xfrm>
                    <a:prstGeom prst="rect"/>
                  </pic:spPr>
                </pic:pic>
              </a:graphicData>
            </a:graphic>
          </wp:inline>
        </w:drawing>
      </w:r>
    </w:p>
    <w:p>
      <w:pPr>
        <w:pStyle w:val="Heading3"/>
      </w:pPr>
      <w:r>
        <w:t>INOD - Innodata</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INOD_BOLL.png"/>
                    <pic:cNvPicPr/>
                  </pic:nvPicPr>
                  <pic:blipFill>
                    <a:blip r:embed="rId13"/>
                    <a:stretch>
                      <a:fillRect/>
                    </a:stretch>
                  </pic:blipFill>
                  <pic:spPr>
                    <a:xfrm>
                      <a:off x="0" y="0"/>
                      <a:ext cx="6035040" cy="4054793"/>
                    </a:xfrm>
                    <a:prstGeom prst="rect"/>
                  </pic:spPr>
                </pic:pic>
              </a:graphicData>
            </a:graphic>
          </wp:inline>
        </w:drawing>
      </w:r>
    </w:p>
    <w:p>
      <w:pPr>
        <w:pStyle w:val="Heading3"/>
      </w:pPr>
      <w:r>
        <w:t>SIVEF - Sivers Semiconductors</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SIVEF_BOLL.png"/>
                    <pic:cNvPicPr/>
                  </pic:nvPicPr>
                  <pic:blipFill>
                    <a:blip r:embed="rId14"/>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