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上升趋势(7)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8.71</w:t>
            </w:r>
          </w:p>
        </w:tc>
        <w:tc>
          <w:tcPr>
            <w:tcW w:type="dxa" w:w="1440"/>
          </w:tcPr>
          <w:p>
            <w:r>
              <w:t>MACD动能衰减；跌破200日均线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68.65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87.85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24.45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124.82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18.32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87.98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当前价格：8.71</w:t>
      </w:r>
    </w:p>
    <w:p>
      <w:r>
        <w:t>趋势过滤：上升趋势；上升趋势评分：7</w:t>
      </w:r>
    </w:p>
    <w:p>
      <w:r>
        <w:t>当前状态：健康上涨或正常波动</w:t>
      </w:r>
    </w:p>
    <w:p>
      <w:r>
        <w:t>风险评分：总分 3；风险等级：正常波动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RSI：RSI6=46.2；RSI12=51.0；RSI24=50.5；RSI暂无明显风险</w:t>
      </w:r>
    </w:p>
    <w:p>
      <w:pPr>
        <w:pStyle w:val="ListBullet"/>
      </w:pPr>
      <w:r>
        <w:t>MA20/50/200：MA20=8.64；MA50=8.23；MA200=9.43；跌破MA200</w:t>
      </w:r>
    </w:p>
    <w:p>
      <w:pPr>
        <w:pStyle w:val="ListBullet"/>
      </w:pPr>
      <w:r>
        <w:t>成交量变化：Volume/MA20=0.78倍；成交量为20日均量的0.78倍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跌破200日均线</w:t>
      </w:r>
    </w:p>
    <w:p>
      <w:r>
        <w:t>判断：健康上涨或正常波动。MACD柱连续3天缩短；KDJ暂无明显风险；RSI暂无明显风险。</w:t>
      </w:r>
    </w:p>
    <w:p>
      <w:r>
        <w:t>建议观察位置：当前价格 8.71；MA20 8.64；MA50 8.23；MA200 9.43。若后续有效跌破MA50，趋势进一步恶化的概率上升。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当前价格：8.51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RSI：RSI6=53.1；RSI12=52.5；RSI24=49.6；未进入过热见顶评分</w:t>
      </w:r>
    </w:p>
    <w:p>
      <w:pPr>
        <w:pStyle w:val="ListBullet"/>
      </w:pPr>
      <w:r>
        <w:t>MA20/50/200：MA20=7.79；MA50=9.12；MA200=6.86；收盘价站上MA20；收盘价站上MA200；MA50高于MA200；MA20斜率向上；近20日收益为正</w:t>
      </w:r>
    </w:p>
    <w:p>
      <w:pPr>
        <w:pStyle w:val="ListBullet"/>
      </w:pPr>
      <w:r>
        <w:t>成交量变化：Volume/MA20=0.35倍；成交量为20日均量的0.35倍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8.51；MA20 7.79；MA50 9.12；MA200 6.86。若后续有效跌破MA50，趋势进一步恶化的概率上升。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当前价格：68.65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RSI：RSI6=52.5；RSI12=51.2；RSI24=48.5；未进入过热见顶评分</w:t>
      </w:r>
    </w:p>
    <w:p>
      <w:pPr>
        <w:pStyle w:val="ListBullet"/>
      </w:pPr>
      <w:r>
        <w:t>MA20/50/200：MA20=66.12；MA50=70.54；MA200=81.65；收盘价站上MA20；MA20斜率向上；近20日收益为正</w:t>
      </w:r>
    </w:p>
    <w:p>
      <w:pPr>
        <w:pStyle w:val="ListBullet"/>
      </w:pPr>
      <w:r>
        <w:t>成交量变化：Volume/MA20=0.96倍；成交量为20日均量的0.96倍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68.65；MA20 66.12；MA50 70.54；MA200 81.65。若后续有效跌破MA50，趋势进一步恶化的概率上升。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当前价格：87.85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RSI：RSI6=37.7；RSI12=47.4；RSI24=48.5；未进入过热见顶评分</w:t>
      </w:r>
    </w:p>
    <w:p>
      <w:pPr>
        <w:pStyle w:val="ListBullet"/>
      </w:pPr>
      <w:r>
        <w:t>MA20/50/200：MA20=87.68；MA50=89.92；MA200=91.95；收盘价站上MA20；MA20斜率向上；近20日收益为正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87.85；MA20 87.68；MA50 89.92；MA200 91.95。若后续有效跌破MA50，趋势进一步恶化的概率上升。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数据提示：历史数据不足300个交易日，当前仅262个交易日；部分长期均线可能为空。</w:t>
      </w:r>
    </w:p>
    <w:p>
      <w:r>
        <w:t>当前价格：24.45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RSI：RSI6=43.8；RSI12=49.3；RSI24=47.2；未进入过热见顶评分</w:t>
      </w:r>
    </w:p>
    <w:p>
      <w:pPr>
        <w:pStyle w:val="ListBullet"/>
      </w:pPr>
      <w:r>
        <w:t>MA20/50/200：MA20=23.76；MA50=25.07；MA200=27.47；收盘价站上MA20；MA20斜率向上；近20日收益为正</w:t>
      </w:r>
    </w:p>
    <w:p>
      <w:pPr>
        <w:pStyle w:val="ListBullet"/>
      </w:pPr>
      <w:r>
        <w:t>成交量变化：Volume/MA20=0.64倍；成交量为20日均量的0.64倍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24.45；MA20 23.76；MA50 25.07；MA200 27.47。若后续有效跌破MA50，趋势进一步恶化的概率上升。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当前价格：124.82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RSI：RSI6=44.3；RSI12=49.0；RSI24=48.9；未进入过热见顶评分</w:t>
      </w:r>
    </w:p>
    <w:p>
      <w:pPr>
        <w:pStyle w:val="ListBullet"/>
      </w:pPr>
      <w:r>
        <w:t>MA20/50/200：MA20=121.26；MA50=128.90；MA200=97.42；收盘价站上MA20；收盘价站上MA200；MA50高于MA200；MA20斜率向上；近20日收益为正</w:t>
      </w:r>
    </w:p>
    <w:p>
      <w:pPr>
        <w:pStyle w:val="ListBullet"/>
      </w:pPr>
      <w:r>
        <w:t>成交量变化：Volume/MA20=0.69倍；成交量为20日均量的0.69倍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124.82；MA20 121.26；MA50 128.90；MA200 97.42。若后续有效跌破MA50，趋势进一步恶化的概率上升。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当前价格：18.32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RSI：RSI6=58.5；RSI12=57.8；RSI24=50.2；未进入过热见顶评分</w:t>
      </w:r>
    </w:p>
    <w:p>
      <w:pPr>
        <w:pStyle w:val="ListBullet"/>
      </w:pPr>
      <w:r>
        <w:t>MA20/50/200：MA20=15.71；MA50=17.54；MA200=19.48；收盘价站上MA20；收盘价站上MA50；MA20斜率向上；近20日收益为正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18.32；MA20 15.71；MA50 17.54；MA200 19.48。若后续有效跌破MA50，趋势进一步恶化的概率上升。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当前价格：87.98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RSI：RSI6=82.5；RSI12=72.4；RSI24=59.6；未进入过热见顶评分</w:t>
      </w:r>
    </w:p>
    <w:p>
      <w:pPr>
        <w:pStyle w:val="ListBullet"/>
      </w:pPr>
      <w:r>
        <w:t>MA20/50/200：MA20=69.40；MA50=69.48；MA200=85.24；收盘价站上MA20；收盘价站上MA50；收盘价站上MA200；MA20斜率向上；近20日收益为正</w:t>
      </w:r>
    </w:p>
    <w:p>
      <w:pPr>
        <w:pStyle w:val="ListBullet"/>
      </w:pPr>
      <w:r>
        <w:t>成交量变化：Volume/MA20=1.99倍；成交量为20日均量的1.99倍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87.98；MA20 69.40；MA50 69.48；MA200 85.24。若后续有效跌破MA50，趋势进一步恶化的概率上升。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