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- 2026-09-18</w:t>
      </w:r>
    </w:p>
    <w:p>
      <w:pPr>
        <w:pStyle w:val="ListBullet"/>
      </w:pPr>
      <w:r>
        <w:t>生成时间（美东）：2026-09-20 21:11:50 EDT</w:t>
      </w:r>
    </w:p>
    <w:p>
      <w:pPr>
        <w:pStyle w:val="ListBullet"/>
      </w:pPr>
      <w:r>
        <w:t>最新可用交易日：2026-09-18</w:t>
      </w:r>
    </w:p>
    <w:p>
      <w:pPr>
        <w:pStyle w:val="ListBullet"/>
      </w:pPr>
      <w:r>
        <w:t>数据源优先级：Yahoo Chart API -&gt; yfinance（可选备用，无需额外配置）</w:t>
      </w:r>
    </w:p>
    <w:p>
      <w:pPr>
        <w:pStyle w:val="ListBullet"/>
      </w:pPr>
      <w:r>
        <w:t>提醒：当前美东日期不是美股交易日，本次使用最近可用交易日的收盘数据计算。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VICR</w:t>
            </w:r>
          </w:p>
        </w:tc>
        <w:tc>
          <w:tcPr>
            <w:tcW w:type="dxa" w:w="960"/>
          </w:tcPr>
          <w:p>
            <w:r>
              <w:t>Vicor Corporation</w:t>
            </w:r>
          </w:p>
        </w:tc>
        <w:tc>
          <w:tcPr>
            <w:tcW w:type="dxa" w:w="960"/>
          </w:tcPr>
          <w:p>
            <w:r>
              <w:t>A 强信号</w:t>
            </w:r>
          </w:p>
        </w:tc>
        <w:tc>
          <w:tcPr>
            <w:tcW w:type="dxa" w:w="960"/>
          </w:tcPr>
          <w:p>
            <w:r>
              <w:t>布林带向上开口（最近1天）；成交量放大；放量突破上轨-强；连续2日站上上轨</w:t>
            </w:r>
          </w:p>
        </w:tc>
        <w:tc>
          <w:tcPr>
            <w:tcW w:type="dxa" w:w="960"/>
          </w:tcPr>
          <w:p>
            <w:r>
              <w:t>突破上轨</w:t>
            </w:r>
          </w:p>
        </w:tc>
        <w:tc>
          <w:tcPr>
            <w:tcW w:type="dxa" w:w="960"/>
          </w:tcPr>
          <w:p>
            <w:r>
              <w:t>24.93%</w:t>
            </w:r>
          </w:p>
        </w:tc>
        <w:tc>
          <w:tcPr>
            <w:tcW w:type="dxa" w:w="960"/>
          </w:tcPr>
          <w:p>
            <w:r>
              <w:t>1.153</w:t>
            </w:r>
          </w:p>
        </w:tc>
        <w:tc>
          <w:tcPr>
            <w:tcW w:type="dxa" w:w="960"/>
          </w:tcPr>
          <w:p>
            <w:r>
              <w:t>2.30</w:t>
            </w:r>
          </w:p>
        </w:tc>
        <w:tc>
          <w:tcPr>
            <w:tcW w:type="dxa" w:w="960"/>
          </w:tcPr>
          <w:p>
            <w:r>
              <w:t>股价放量突破布林线上轨，说明短线多头动能较强，可能进入强势上涨阶段，但也要注意短线过热和回</w:t>
            </w:r>
          </w:p>
        </w:tc>
      </w:tr>
      <w:tr>
        <w:tc>
          <w:tcPr>
            <w:tcW w:type="dxa" w:w="960"/>
          </w:tcPr>
          <w:p>
            <w:r>
              <w:t>NOK</w:t>
            </w:r>
          </w:p>
        </w:tc>
        <w:tc>
          <w:tcPr>
            <w:tcW w:type="dxa" w:w="960"/>
          </w:tcPr>
          <w:p>
            <w:r>
              <w:t>Nokia Oyj</w:t>
            </w:r>
          </w:p>
        </w:tc>
        <w:tc>
          <w:tcPr>
            <w:tcW w:type="dxa" w:w="960"/>
          </w:tcPr>
          <w:p>
            <w:r>
              <w:t>A 强信号</w:t>
            </w:r>
          </w:p>
        </w:tc>
        <w:tc>
          <w:tcPr>
            <w:tcW w:type="dxa" w:w="960"/>
          </w:tcPr>
          <w:p>
            <w:r>
              <w:t>中轨反弹并接近上轨；成交量放大；下轨反弹：处于中轨与上轨之间；成交量温和改善</w:t>
            </w:r>
          </w:p>
        </w:tc>
        <w:tc>
          <w:tcPr>
            <w:tcW w:type="dxa" w:w="960"/>
          </w:tcPr>
          <w:p>
            <w:r>
              <w:t>中轨上方</w:t>
            </w:r>
          </w:p>
        </w:tc>
        <w:tc>
          <w:tcPr>
            <w:tcW w:type="dxa" w:w="960"/>
          </w:tcPr>
          <w:p>
            <w:r>
              <w:t>14.99%</w:t>
            </w:r>
          </w:p>
        </w:tc>
        <w:tc>
          <w:tcPr>
            <w:tcW w:type="dxa" w:w="960"/>
          </w:tcPr>
          <w:p>
            <w:r>
              <w:t>0.763</w:t>
            </w:r>
          </w:p>
        </w:tc>
        <w:tc>
          <w:tcPr>
            <w:tcW w:type="dxa" w:w="960"/>
          </w:tcPr>
          <w:p>
            <w:r>
              <w:t>2.03</w:t>
            </w:r>
          </w:p>
        </w:tc>
        <w:tc>
          <w:tcPr>
            <w:tcW w:type="dxa" w:w="960"/>
          </w:tcPr>
          <w:p>
            <w:r>
              <w:t>股价从中轨附近反弹并接近上轨，且成交量放大，说明短线修复增强；若后续能维持中轨支撑并突破上</w:t>
            </w:r>
          </w:p>
        </w:tc>
      </w:tr>
      <w:tr>
        <w:tc>
          <w:tcPr>
            <w:tcW w:type="dxa" w:w="960"/>
          </w:tcPr>
          <w:p>
            <w:r>
              <w:t>GOOG</w:t>
            </w:r>
          </w:p>
        </w:tc>
        <w:tc>
          <w:tcPr>
            <w:tcW w:type="dxa" w:w="960"/>
          </w:tcPr>
          <w:p>
            <w:r>
              <w:t>Alphabet Inc.</w:t>
            </w:r>
          </w:p>
        </w:tc>
        <w:tc>
          <w:tcPr>
            <w:tcW w:type="dxa" w:w="960"/>
          </w:tcPr>
          <w:p>
            <w:r>
              <w:t>A 强信号</w:t>
            </w:r>
          </w:p>
        </w:tc>
        <w:tc>
          <w:tcPr>
            <w:tcW w:type="dxa" w:w="960"/>
          </w:tcPr>
          <w:p>
            <w:r>
              <w:t>中轨反弹并接近上轨；成交量放大；下轨反弹：处于中轨与上轨之间；成交量温和改善</w:t>
            </w:r>
          </w:p>
        </w:tc>
        <w:tc>
          <w:tcPr>
            <w:tcW w:type="dxa" w:w="960"/>
          </w:tcPr>
          <w:p>
            <w:r>
              <w:t>中轨上方</w:t>
            </w:r>
          </w:p>
        </w:tc>
        <w:tc>
          <w:tcPr>
            <w:tcW w:type="dxa" w:w="960"/>
          </w:tcPr>
          <w:p>
            <w:r>
              <w:t>5.82%</w:t>
            </w:r>
          </w:p>
        </w:tc>
        <w:tc>
          <w:tcPr>
            <w:tcW w:type="dxa" w:w="960"/>
          </w:tcPr>
          <w:p>
            <w:r>
              <w:t>0.802</w:t>
            </w:r>
          </w:p>
        </w:tc>
        <w:tc>
          <w:tcPr>
            <w:tcW w:type="dxa" w:w="960"/>
          </w:tcPr>
          <w:p>
            <w:r>
              <w:t>2.00</w:t>
            </w:r>
          </w:p>
        </w:tc>
        <w:tc>
          <w:tcPr>
            <w:tcW w:type="dxa" w:w="960"/>
          </w:tcPr>
          <w:p>
            <w:r>
              <w:t>股价从中轨附近反弹并接近上轨，且成交量放大，说明短线修复增强；若后续能维持中轨支撑并突破上</w:t>
            </w:r>
          </w:p>
        </w:tc>
      </w:tr>
      <w:tr>
        <w:tc>
          <w:tcPr>
            <w:tcW w:type="dxa" w:w="960"/>
          </w:tcPr>
          <w:p>
            <w:r>
              <w:t>COIN</w:t>
            </w:r>
          </w:p>
        </w:tc>
        <w:tc>
          <w:tcPr>
            <w:tcW w:type="dxa" w:w="960"/>
          </w:tcPr>
          <w:p>
            <w:r>
              <w:t>Coinbase Global, Inc.</w:t>
            </w:r>
          </w:p>
        </w:tc>
        <w:tc>
          <w:tcPr>
            <w:tcW w:type="dxa" w:w="960"/>
          </w:tcPr>
          <w:p>
            <w:r>
              <w:t>A 强信号</w:t>
            </w:r>
          </w:p>
        </w:tc>
        <w:tc>
          <w:tcPr>
            <w:tcW w:type="dxa" w:w="960"/>
          </w:tcPr>
          <w:p>
            <w:r>
              <w:t>中轨反弹并接近上轨；成交量放大；下轨反弹：处于中轨与上轨之间；成交量温和改善</w:t>
            </w:r>
          </w:p>
        </w:tc>
        <w:tc>
          <w:tcPr>
            <w:tcW w:type="dxa" w:w="960"/>
          </w:tcPr>
          <w:p>
            <w:r>
              <w:t>靠近上轨</w:t>
            </w:r>
          </w:p>
        </w:tc>
        <w:tc>
          <w:tcPr>
            <w:tcW w:type="dxa" w:w="960"/>
          </w:tcPr>
          <w:p>
            <w:r>
              <w:t>17.57%</w:t>
            </w:r>
          </w:p>
        </w:tc>
        <w:tc>
          <w:tcPr>
            <w:tcW w:type="dxa" w:w="960"/>
          </w:tcPr>
          <w:p>
            <w:r>
              <w:t>0.918</w:t>
            </w:r>
          </w:p>
        </w:tc>
        <w:tc>
          <w:tcPr>
            <w:tcW w:type="dxa" w:w="960"/>
          </w:tcPr>
          <w:p>
            <w:r>
              <w:t>1.98</w:t>
            </w:r>
          </w:p>
        </w:tc>
        <w:tc>
          <w:tcPr>
            <w:tcW w:type="dxa" w:w="960"/>
          </w:tcPr>
          <w:p>
            <w:r>
              <w:t>股价从中轨附近反弹并接近上轨，且成交量放大，说明短线修复增强；若后续能维持中轨支撑并突破上</w:t>
            </w:r>
          </w:p>
        </w:tc>
      </w:tr>
      <w:tr>
        <w:tc>
          <w:tcPr>
            <w:tcW w:type="dxa" w:w="960"/>
          </w:tcPr>
          <w:p>
            <w:r>
              <w:t>IBRX</w:t>
            </w:r>
          </w:p>
        </w:tc>
        <w:tc>
          <w:tcPr>
            <w:tcW w:type="dxa" w:w="960"/>
          </w:tcPr>
          <w:p>
            <w:r>
              <w:t>ImmunityBio, Inc.</w:t>
            </w:r>
          </w:p>
        </w:tc>
        <w:tc>
          <w:tcPr>
            <w:tcW w:type="dxa" w:w="960"/>
          </w:tcPr>
          <w:p>
            <w:r>
              <w:t>A 强信号</w:t>
            </w:r>
          </w:p>
        </w:tc>
        <w:tc>
          <w:tcPr>
            <w:tcW w:type="dxa" w:w="960"/>
          </w:tcPr>
          <w:p>
            <w:r>
              <w:t>布林带向上开口（最近2天）；成交量放大；中轨反弹并接近上轨；成交量放大</w:t>
            </w:r>
          </w:p>
        </w:tc>
        <w:tc>
          <w:tcPr>
            <w:tcW w:type="dxa" w:w="960"/>
          </w:tcPr>
          <w:p>
            <w:r>
              <w:t>靠近上轨</w:t>
            </w:r>
          </w:p>
        </w:tc>
        <w:tc>
          <w:tcPr>
            <w:tcW w:type="dxa" w:w="960"/>
          </w:tcPr>
          <w:p>
            <w:r>
              <w:t>12.08%</w:t>
            </w:r>
          </w:p>
        </w:tc>
        <w:tc>
          <w:tcPr>
            <w:tcW w:type="dxa" w:w="960"/>
          </w:tcPr>
          <w:p>
            <w:r>
              <w:t>0.908</w:t>
            </w:r>
          </w:p>
        </w:tc>
        <w:tc>
          <w:tcPr>
            <w:tcW w:type="dxa" w:w="960"/>
          </w:tcPr>
          <w:p>
            <w:r>
              <w:t>1.96</w:t>
            </w:r>
          </w:p>
        </w:tc>
        <w:tc>
          <w:tcPr>
            <w:tcW w:type="dxa" w:w="960"/>
          </w:tcPr>
          <w:p>
            <w:r>
              <w:t>布林带向上开口，说明波动率开始放大，股价接近上轨，可能进入趋势启动观察阶段，需要继续结合突</w:t>
            </w:r>
          </w:p>
        </w:tc>
      </w:tr>
      <w:tr>
        <w:tc>
          <w:tcPr>
            <w:tcW w:type="dxa" w:w="960"/>
          </w:tcPr>
          <w:p>
            <w:r>
              <w:t>ALAB</w:t>
            </w:r>
          </w:p>
        </w:tc>
        <w:tc>
          <w:tcPr>
            <w:tcW w:type="dxa" w:w="960"/>
          </w:tcPr>
          <w:p>
            <w:r>
              <w:t>Astera Labs</w:t>
            </w:r>
          </w:p>
        </w:tc>
        <w:tc>
          <w:tcPr>
            <w:tcW w:type="dxa" w:w="960"/>
          </w:tcPr>
          <w:p>
            <w:r>
              <w:t>A 强信号</w:t>
            </w:r>
          </w:p>
        </w:tc>
        <w:tc>
          <w:tcPr>
            <w:tcW w:type="dxa" w:w="960"/>
          </w:tcPr>
          <w:p>
            <w:r>
              <w:t>中轨反弹并接近上轨；成交量放大；下轨反弹：处于中轨与上轨之间；成交量温和改善</w:t>
            </w:r>
          </w:p>
        </w:tc>
        <w:tc>
          <w:tcPr>
            <w:tcW w:type="dxa" w:w="960"/>
          </w:tcPr>
          <w:p>
            <w:r>
              <w:t>中轨上方</w:t>
            </w:r>
          </w:p>
        </w:tc>
        <w:tc>
          <w:tcPr>
            <w:tcW w:type="dxa" w:w="960"/>
          </w:tcPr>
          <w:p>
            <w:r>
              <w:t>20.26%</w:t>
            </w:r>
          </w:p>
        </w:tc>
        <w:tc>
          <w:tcPr>
            <w:tcW w:type="dxa" w:w="960"/>
          </w:tcPr>
          <w:p>
            <w:r>
              <w:t>0.803</w:t>
            </w:r>
          </w:p>
        </w:tc>
        <w:tc>
          <w:tcPr>
            <w:tcW w:type="dxa" w:w="960"/>
          </w:tcPr>
          <w:p>
            <w:r>
              <w:t>1.95</w:t>
            </w:r>
          </w:p>
        </w:tc>
        <w:tc>
          <w:tcPr>
            <w:tcW w:type="dxa" w:w="960"/>
          </w:tcPr>
          <w:p>
            <w:r>
              <w:t>股价从中轨附近反弹并接近上轨，且成交量放大，说明短线修复增强；若后续能维持中轨支撑并突破上</w:t>
            </w:r>
          </w:p>
        </w:tc>
      </w:tr>
      <w:tr>
        <w:tc>
          <w:tcPr>
            <w:tcW w:type="dxa" w:w="960"/>
          </w:tcPr>
          <w:p>
            <w:r>
              <w:t>CBRS</w:t>
            </w:r>
          </w:p>
        </w:tc>
        <w:tc>
          <w:tcPr>
            <w:tcW w:type="dxa" w:w="960"/>
          </w:tcPr>
          <w:p>
            <w:r>
              <w:t>Chain Bridge Bancorp</w:t>
            </w:r>
          </w:p>
        </w:tc>
        <w:tc>
          <w:tcPr>
            <w:tcW w:type="dxa" w:w="960"/>
          </w:tcPr>
          <w:p>
            <w:r>
              <w:t>A 强信号</w:t>
            </w:r>
          </w:p>
        </w:tc>
        <w:tc>
          <w:tcPr>
            <w:tcW w:type="dxa" w:w="960"/>
          </w:tcPr>
          <w:p>
            <w:r>
              <w:t>中轨反弹并接近上轨；成交量放大；低位形态</w:t>
            </w:r>
          </w:p>
        </w:tc>
        <w:tc>
          <w:tcPr>
            <w:tcW w:type="dxa" w:w="960"/>
          </w:tcPr>
          <w:p>
            <w:r>
              <w:t>中轨上方</w:t>
            </w:r>
          </w:p>
        </w:tc>
        <w:tc>
          <w:tcPr>
            <w:tcW w:type="dxa" w:w="960"/>
          </w:tcPr>
          <w:p>
            <w:r>
              <w:t>17.57%</w:t>
            </w:r>
          </w:p>
        </w:tc>
        <w:tc>
          <w:tcPr>
            <w:tcW w:type="dxa" w:w="960"/>
          </w:tcPr>
          <w:p>
            <w:r>
              <w:t>0.778</w:t>
            </w:r>
          </w:p>
        </w:tc>
        <w:tc>
          <w:tcPr>
            <w:tcW w:type="dxa" w:w="960"/>
          </w:tcPr>
          <w:p>
            <w:r>
              <w:t>1.73</w:t>
            </w:r>
          </w:p>
        </w:tc>
        <w:tc>
          <w:tcPr>
            <w:tcW w:type="dxa" w:w="960"/>
          </w:tcPr>
          <w:p>
            <w:r>
              <w:t>股价从中轨附近反弹并接近上轨，且成交量放大，说明短线修复增强；若后续能维持中轨支撑并突破上</w:t>
            </w:r>
          </w:p>
        </w:tc>
      </w:tr>
      <w:tr>
        <w:tc>
          <w:tcPr>
            <w:tcW w:type="dxa" w:w="960"/>
          </w:tcPr>
          <w:p>
            <w:r>
              <w:t>ARM</w:t>
            </w:r>
          </w:p>
        </w:tc>
        <w:tc>
          <w:tcPr>
            <w:tcW w:type="dxa" w:w="960"/>
          </w:tcPr>
          <w:p>
            <w:r>
              <w:t>Arm Holdings</w:t>
            </w:r>
          </w:p>
        </w:tc>
        <w:tc>
          <w:tcPr>
            <w:tcW w:type="dxa" w:w="960"/>
          </w:tcPr>
          <w:p>
            <w:r>
              <w:t>A 强信号</w:t>
            </w:r>
          </w:p>
        </w:tc>
        <w:tc>
          <w:tcPr>
            <w:tcW w:type="dxa" w:w="960"/>
          </w:tcPr>
          <w:p>
            <w:r>
              <w:t>布林带向上开口（最近2天）；成交量放大；放量突破上轨-中；中轨反弹并接近上轨</w:t>
            </w:r>
          </w:p>
        </w:tc>
        <w:tc>
          <w:tcPr>
            <w:tcW w:type="dxa" w:w="960"/>
          </w:tcPr>
          <w:p>
            <w:r>
              <w:t>突破上轨</w:t>
            </w:r>
          </w:p>
        </w:tc>
        <w:tc>
          <w:tcPr>
            <w:tcW w:type="dxa" w:w="960"/>
          </w:tcPr>
          <w:p>
            <w:r>
              <w:t>18.43%</w:t>
            </w:r>
          </w:p>
        </w:tc>
        <w:tc>
          <w:tcPr>
            <w:tcW w:type="dxa" w:w="960"/>
          </w:tcPr>
          <w:p>
            <w:r>
              <w:t>1.074</w:t>
            </w:r>
          </w:p>
        </w:tc>
        <w:tc>
          <w:tcPr>
            <w:tcW w:type="dxa" w:w="960"/>
          </w:tcPr>
          <w:p>
            <w:r>
              <w:t>1.70</w:t>
            </w:r>
          </w:p>
        </w:tc>
        <w:tc>
          <w:tcPr>
            <w:tcW w:type="dxa" w:w="960"/>
          </w:tcPr>
          <w:p>
            <w:r>
              <w:t>股价放量突破布林线上轨，说明短线多头动能较强，可能进入强势上涨阶段，但也要注意短线过热和回</w:t>
            </w:r>
          </w:p>
        </w:tc>
      </w:tr>
      <w:tr>
        <w:tc>
          <w:tcPr>
            <w:tcW w:type="dxa" w:w="960"/>
          </w:tcPr>
          <w:p>
            <w:r>
              <w:t>AMD</w:t>
            </w:r>
          </w:p>
        </w:tc>
        <w:tc>
          <w:tcPr>
            <w:tcW w:type="dxa" w:w="960"/>
          </w:tcPr>
          <w:p>
            <w:r>
              <w:t>Advanced Micro Devices</w:t>
            </w:r>
          </w:p>
        </w:tc>
        <w:tc>
          <w:tcPr>
            <w:tcW w:type="dxa" w:w="960"/>
          </w:tcPr>
          <w:p>
            <w:r>
              <w:t>A 强信号</w:t>
            </w:r>
          </w:p>
        </w:tc>
        <w:tc>
          <w:tcPr>
            <w:tcW w:type="dxa" w:w="960"/>
          </w:tcPr>
          <w:p>
            <w:r>
              <w:t>布林带向上开口（最近3天）；成交量放大；放量突破上轨-中；连续2日站上上轨</w:t>
            </w:r>
          </w:p>
        </w:tc>
        <w:tc>
          <w:tcPr>
            <w:tcW w:type="dxa" w:w="960"/>
          </w:tcPr>
          <w:p>
            <w:r>
              <w:t>突破上轨</w:t>
            </w:r>
          </w:p>
        </w:tc>
        <w:tc>
          <w:tcPr>
            <w:tcW w:type="dxa" w:w="960"/>
          </w:tcPr>
          <w:p>
            <w:r>
              <w:t>23.58%</w:t>
            </w:r>
          </w:p>
        </w:tc>
        <w:tc>
          <w:tcPr>
            <w:tcW w:type="dxa" w:w="960"/>
          </w:tcPr>
          <w:p>
            <w:r>
              <w:t>1.097</w:t>
            </w:r>
          </w:p>
        </w:tc>
        <w:tc>
          <w:tcPr>
            <w:tcW w:type="dxa" w:w="960"/>
          </w:tcPr>
          <w:p>
            <w:r>
              <w:t>1.67</w:t>
            </w:r>
          </w:p>
        </w:tc>
        <w:tc>
          <w:tcPr>
            <w:tcW w:type="dxa" w:w="960"/>
          </w:tcPr>
          <w:p>
            <w:r>
              <w:t>股价放量突破布林线上轨，说明短线多头动能较强，可能进入强势上涨阶段，但也要注意短线过热和回</w:t>
            </w:r>
          </w:p>
        </w:tc>
      </w:tr>
      <w:tr>
        <w:tc>
          <w:tcPr>
            <w:tcW w:type="dxa" w:w="960"/>
          </w:tcPr>
          <w:p>
            <w:r>
              <w:t>COHR</w:t>
            </w:r>
          </w:p>
        </w:tc>
        <w:tc>
          <w:tcPr>
            <w:tcW w:type="dxa" w:w="960"/>
          </w:tcPr>
          <w:p>
            <w:r>
              <w:t>Coherent</w:t>
            </w:r>
          </w:p>
        </w:tc>
        <w:tc>
          <w:tcPr>
            <w:tcW w:type="dxa" w:w="960"/>
          </w:tcPr>
          <w:p>
            <w:r>
              <w:t>A 强信号</w:t>
            </w:r>
          </w:p>
        </w:tc>
        <w:tc>
          <w:tcPr>
            <w:tcW w:type="dxa" w:w="960"/>
          </w:tcPr>
          <w:p>
            <w:r>
              <w:t>布林带向上开口（最近2天）；成交量放大；放量突破上轨-中；中轨反弹并接近上轨</w:t>
            </w:r>
          </w:p>
        </w:tc>
        <w:tc>
          <w:tcPr>
            <w:tcW w:type="dxa" w:w="960"/>
          </w:tcPr>
          <w:p>
            <w:r>
              <w:t>突破上轨</w:t>
            </w:r>
          </w:p>
        </w:tc>
        <w:tc>
          <w:tcPr>
            <w:tcW w:type="dxa" w:w="960"/>
          </w:tcPr>
          <w:p>
            <w:r>
              <w:t>19.87%</w:t>
            </w:r>
          </w:p>
        </w:tc>
        <w:tc>
          <w:tcPr>
            <w:tcW w:type="dxa" w:w="960"/>
          </w:tcPr>
          <w:p>
            <w:r>
              <w:t>1.040</w:t>
            </w:r>
          </w:p>
        </w:tc>
        <w:tc>
          <w:tcPr>
            <w:tcW w:type="dxa" w:w="960"/>
          </w:tcPr>
          <w:p>
            <w:r>
              <w:t>1.66</w:t>
            </w:r>
          </w:p>
        </w:tc>
        <w:tc>
          <w:tcPr>
            <w:tcW w:type="dxa" w:w="960"/>
          </w:tcPr>
          <w:p>
            <w:r>
              <w:t>股价放量突破布林线上轨，说明短线多头动能较强，可能进入强势上涨阶段，但也要注意短线过热和回</w:t>
            </w:r>
          </w:p>
        </w:tc>
      </w:tr>
      <w:tr>
        <w:tc>
          <w:tcPr>
            <w:tcW w:type="dxa" w:w="960"/>
          </w:tcPr>
          <w:p>
            <w:r>
              <w:t>SNDK</w:t>
            </w:r>
          </w:p>
        </w:tc>
        <w:tc>
          <w:tcPr>
            <w:tcW w:type="dxa" w:w="960"/>
          </w:tcPr>
          <w:p>
            <w:r>
              <w:t>Sandisk Corporation</w:t>
            </w:r>
          </w:p>
        </w:tc>
        <w:tc>
          <w:tcPr>
            <w:tcW w:type="dxa" w:w="960"/>
          </w:tcPr>
          <w:p>
            <w:r>
              <w:t>A 强信号</w:t>
            </w:r>
          </w:p>
        </w:tc>
        <w:tc>
          <w:tcPr>
            <w:tcW w:type="dxa" w:w="960"/>
          </w:tcPr>
          <w:p>
            <w:r>
              <w:t>布林带向上开口（最近3天）；成交量放大；放量突破上轨-中；中轨反弹并接近上轨</w:t>
            </w:r>
          </w:p>
        </w:tc>
        <w:tc>
          <w:tcPr>
            <w:tcW w:type="dxa" w:w="960"/>
          </w:tcPr>
          <w:p>
            <w:r>
              <w:t>突破上轨</w:t>
            </w:r>
          </w:p>
        </w:tc>
        <w:tc>
          <w:tcPr>
            <w:tcW w:type="dxa" w:w="960"/>
          </w:tcPr>
          <w:p>
            <w:r>
              <w:t>24.87%</w:t>
            </w:r>
          </w:p>
        </w:tc>
        <w:tc>
          <w:tcPr>
            <w:tcW w:type="dxa" w:w="960"/>
          </w:tcPr>
          <w:p>
            <w:r>
              <w:t>1.006</w:t>
            </w:r>
          </w:p>
        </w:tc>
        <w:tc>
          <w:tcPr>
            <w:tcW w:type="dxa" w:w="960"/>
          </w:tcPr>
          <w:p>
            <w:r>
              <w:t>1.65</w:t>
            </w:r>
          </w:p>
        </w:tc>
        <w:tc>
          <w:tcPr>
            <w:tcW w:type="dxa" w:w="960"/>
          </w:tcPr>
          <w:p>
            <w:r>
              <w:t>股价放量突破布林线上轨，说明短线多头动能较强，可能进入强势上涨阶段，但也要注意短线过热和回</w:t>
            </w:r>
          </w:p>
        </w:tc>
      </w:tr>
      <w:tr>
        <w:tc>
          <w:tcPr>
            <w:tcW w:type="dxa" w:w="960"/>
          </w:tcPr>
          <w:p>
            <w:r>
              <w:t>MU</w:t>
            </w:r>
          </w:p>
        </w:tc>
        <w:tc>
          <w:tcPr>
            <w:tcW w:type="dxa" w:w="960"/>
          </w:tcPr>
          <w:p>
            <w:r>
              <w:t>Micron Technology, Inc.</w:t>
            </w:r>
          </w:p>
        </w:tc>
        <w:tc>
          <w:tcPr>
            <w:tcW w:type="dxa" w:w="960"/>
          </w:tcPr>
          <w:p>
            <w:r>
              <w:t>A 强信号</w:t>
            </w:r>
          </w:p>
        </w:tc>
        <w:tc>
          <w:tcPr>
            <w:tcW w:type="dxa" w:w="960"/>
          </w:tcPr>
          <w:p>
            <w:r>
              <w:t>布林带向上开口（最近1天）；成交量放大；中轨反弹并接近上轨；成交量放大</w:t>
            </w:r>
          </w:p>
        </w:tc>
        <w:tc>
          <w:tcPr>
            <w:tcW w:type="dxa" w:w="960"/>
          </w:tcPr>
          <w:p>
            <w:r>
              <w:t>靠近上轨</w:t>
            </w:r>
          </w:p>
        </w:tc>
        <w:tc>
          <w:tcPr>
            <w:tcW w:type="dxa" w:w="960"/>
          </w:tcPr>
          <w:p>
            <w:r>
              <w:t>14.01%</w:t>
            </w:r>
          </w:p>
        </w:tc>
        <w:tc>
          <w:tcPr>
            <w:tcW w:type="dxa" w:w="960"/>
          </w:tcPr>
          <w:p>
            <w:r>
              <w:t>0.918</w:t>
            </w:r>
          </w:p>
        </w:tc>
        <w:tc>
          <w:tcPr>
            <w:tcW w:type="dxa" w:w="960"/>
          </w:tcPr>
          <w:p>
            <w:r>
              <w:t>1.44</w:t>
            </w:r>
          </w:p>
        </w:tc>
        <w:tc>
          <w:tcPr>
            <w:tcW w:type="dxa" w:w="960"/>
          </w:tcPr>
          <w:p>
            <w:r>
              <w:t>布林带向上开口，说明波动率开始放大，股价接近上轨，可能进入趋势启动观察阶段，需要继续结合突</w:t>
            </w:r>
          </w:p>
        </w:tc>
      </w:tr>
      <w:tr>
        <w:tc>
          <w:tcPr>
            <w:tcW w:type="dxa" w:w="960"/>
          </w:tcPr>
          <w:p>
            <w:r>
              <w:t>SPCX</w:t>
            </w:r>
          </w:p>
        </w:tc>
        <w:tc>
          <w:tcPr>
            <w:tcW w:type="dxa" w:w="960"/>
          </w:tcPr>
          <w:p>
            <w:r>
              <w:t>Space Exploration Technologies</w:t>
            </w:r>
          </w:p>
        </w:tc>
        <w:tc>
          <w:tcPr>
            <w:tcW w:type="dxa" w:w="960"/>
          </w:tcPr>
          <w:p>
            <w:r>
              <w:t>B 中等信号</w:t>
            </w:r>
          </w:p>
        </w:tc>
        <w:tc>
          <w:tcPr>
            <w:tcW w:type="dxa" w:w="960"/>
          </w:tcPr>
          <w:p>
            <w:r>
              <w:t>中轨反弹并接近上轨；成交量放大</w:t>
            </w:r>
          </w:p>
        </w:tc>
        <w:tc>
          <w:tcPr>
            <w:tcW w:type="dxa" w:w="960"/>
          </w:tcPr>
          <w:p>
            <w:r>
              <w:t>中轨上方</w:t>
            </w:r>
          </w:p>
        </w:tc>
        <w:tc>
          <w:tcPr>
            <w:tcW w:type="dxa" w:w="960"/>
          </w:tcPr>
          <w:p>
            <w:r>
              <w:t>15.79%</w:t>
            </w:r>
          </w:p>
        </w:tc>
        <w:tc>
          <w:tcPr>
            <w:tcW w:type="dxa" w:w="960"/>
          </w:tcPr>
          <w:p>
            <w:r>
              <w:t>0.821</w:t>
            </w:r>
          </w:p>
        </w:tc>
        <w:tc>
          <w:tcPr>
            <w:tcW w:type="dxa" w:w="960"/>
          </w:tcPr>
          <w:p>
            <w:r>
              <w:t>3.78</w:t>
            </w:r>
          </w:p>
        </w:tc>
        <w:tc>
          <w:tcPr>
            <w:tcW w:type="dxa" w:w="960"/>
          </w:tcPr>
          <w:p>
            <w:r>
              <w:t>股价从中轨附近反弹并接近上轨，且成交量放大，说明短线修复增强；若后续能维持中轨支撑并突破上</w:t>
            </w:r>
          </w:p>
        </w:tc>
      </w:tr>
      <w:tr>
        <w:tc>
          <w:tcPr>
            <w:tcW w:type="dxa" w:w="960"/>
          </w:tcPr>
          <w:p>
            <w:r>
              <w:t>INSP</w:t>
            </w:r>
          </w:p>
        </w:tc>
        <w:tc>
          <w:tcPr>
            <w:tcW w:type="dxa" w:w="960"/>
          </w:tcPr>
          <w:p>
            <w:r>
              <w:t>Inspire Medical Systems, Inc.</w:t>
            </w:r>
          </w:p>
        </w:tc>
        <w:tc>
          <w:tcPr>
            <w:tcW w:type="dxa" w:w="960"/>
          </w:tcPr>
          <w:p>
            <w:r>
              <w:t>B 中等信号</w:t>
            </w:r>
          </w:p>
        </w:tc>
        <w:tc>
          <w:tcPr>
            <w:tcW w:type="dxa" w:w="960"/>
          </w:tcPr>
          <w:p>
            <w:r>
              <w:t>布林带向上开口（最近5天）；成交量放大</w:t>
            </w:r>
          </w:p>
        </w:tc>
        <w:tc>
          <w:tcPr>
            <w:tcW w:type="dxa" w:w="960"/>
          </w:tcPr>
          <w:p>
            <w:r>
              <w:t>靠近上轨</w:t>
            </w:r>
          </w:p>
        </w:tc>
        <w:tc>
          <w:tcPr>
            <w:tcW w:type="dxa" w:w="960"/>
          </w:tcPr>
          <w:p>
            <w:r>
              <w:t>33.21%</w:t>
            </w:r>
          </w:p>
        </w:tc>
        <w:tc>
          <w:tcPr>
            <w:tcW w:type="dxa" w:w="960"/>
          </w:tcPr>
          <w:p>
            <w:r>
              <w:t>0.985</w:t>
            </w:r>
          </w:p>
        </w:tc>
        <w:tc>
          <w:tcPr>
            <w:tcW w:type="dxa" w:w="960"/>
          </w:tcPr>
          <w:p>
            <w:r>
              <w:t>2.91</w:t>
            </w:r>
          </w:p>
        </w:tc>
        <w:tc>
          <w:tcPr>
            <w:tcW w:type="dxa" w:w="960"/>
          </w:tcPr>
          <w:p>
            <w:r>
              <w:t>布林带向上开口，说明波动率开始放大，股价接近上轨，可能进入趋势启动观察阶段，需要继续结合突</w:t>
            </w:r>
          </w:p>
        </w:tc>
      </w:tr>
      <w:tr>
        <w:tc>
          <w:tcPr>
            <w:tcW w:type="dxa" w:w="960"/>
          </w:tcPr>
          <w:p>
            <w:r>
              <w:t>MANE</w:t>
            </w:r>
          </w:p>
        </w:tc>
        <w:tc>
          <w:tcPr>
            <w:tcW w:type="dxa" w:w="960"/>
          </w:tcPr>
          <w:p>
            <w:r>
              <w:t>Veradermics, Incorporated</w:t>
            </w:r>
          </w:p>
        </w:tc>
        <w:tc>
          <w:tcPr>
            <w:tcW w:type="dxa" w:w="960"/>
          </w:tcPr>
          <w:p>
            <w:r>
              <w:t>B 中等信号</w:t>
            </w:r>
          </w:p>
        </w:tc>
        <w:tc>
          <w:tcPr>
            <w:tcW w:type="dxa" w:w="960"/>
          </w:tcPr>
          <w:p>
            <w:r>
              <w:t>中轨反弹并接近上轨；成交量放大</w:t>
            </w:r>
          </w:p>
        </w:tc>
        <w:tc>
          <w:tcPr>
            <w:tcW w:type="dxa" w:w="960"/>
          </w:tcPr>
          <w:p>
            <w:r>
              <w:t>靠近上轨</w:t>
            </w:r>
          </w:p>
        </w:tc>
        <w:tc>
          <w:tcPr>
            <w:tcW w:type="dxa" w:w="960"/>
          </w:tcPr>
          <w:p>
            <w:r>
              <w:t>12.26%</w:t>
            </w:r>
          </w:p>
        </w:tc>
        <w:tc>
          <w:tcPr>
            <w:tcW w:type="dxa" w:w="960"/>
          </w:tcPr>
          <w:p>
            <w:r>
              <w:t>0.961</w:t>
            </w:r>
          </w:p>
        </w:tc>
        <w:tc>
          <w:tcPr>
            <w:tcW w:type="dxa" w:w="960"/>
          </w:tcPr>
          <w:p>
            <w:r>
              <w:t>2.85</w:t>
            </w:r>
          </w:p>
        </w:tc>
        <w:tc>
          <w:tcPr>
            <w:tcW w:type="dxa" w:w="960"/>
          </w:tcPr>
          <w:p>
            <w:r>
              <w:t>股价从中轨附近反弹并接近上轨，且成交量放大，说明短线修复增强；若后续能维持中轨支撑并突破上</w:t>
            </w:r>
          </w:p>
        </w:tc>
      </w:tr>
      <w:tr>
        <w:tc>
          <w:tcPr>
            <w:tcW w:type="dxa" w:w="960"/>
          </w:tcPr>
          <w:p>
            <w:r>
              <w:t>LITE</w:t>
            </w:r>
          </w:p>
        </w:tc>
        <w:tc>
          <w:tcPr>
            <w:tcW w:type="dxa" w:w="960"/>
          </w:tcPr>
          <w:p>
            <w:r>
              <w:t>Lumentum Holdings</w:t>
            </w:r>
          </w:p>
        </w:tc>
        <w:tc>
          <w:tcPr>
            <w:tcW w:type="dxa" w:w="960"/>
          </w:tcPr>
          <w:p>
            <w:r>
              <w:t>B 中等信号</w:t>
            </w:r>
          </w:p>
        </w:tc>
        <w:tc>
          <w:tcPr>
            <w:tcW w:type="dxa" w:w="960"/>
          </w:tcPr>
          <w:p>
            <w:r>
              <w:t>中等收口：Bandwidth低于近8个月20%分位且持续14天；中轨附近窄幅震荡</w:t>
            </w:r>
          </w:p>
        </w:tc>
        <w:tc>
          <w:tcPr>
            <w:tcW w:type="dxa" w:w="960"/>
          </w:tcPr>
          <w:p>
            <w:r>
              <w:t>中轨附近</w:t>
            </w:r>
          </w:p>
        </w:tc>
        <w:tc>
          <w:tcPr>
            <w:tcW w:type="dxa" w:w="960"/>
          </w:tcPr>
          <w:p>
            <w:r>
              <w:t>20.23%</w:t>
            </w:r>
          </w:p>
        </w:tc>
        <w:tc>
          <w:tcPr>
            <w:tcW w:type="dxa" w:w="960"/>
          </w:tcPr>
          <w:p>
            <w:r>
              <w:t>0.669</w:t>
            </w:r>
          </w:p>
        </w:tc>
        <w:tc>
          <w:tcPr>
            <w:tcW w:type="dxa" w:w="960"/>
          </w:tcPr>
          <w:p>
            <w:r>
              <w:t>2.12</w:t>
            </w:r>
          </w:p>
        </w:tc>
        <w:tc>
          <w:tcPr>
            <w:tcW w:type="dxa" w:w="960"/>
          </w:tcPr>
          <w:p>
            <w:r>
              <w:t>布林带收口，说明波动率下降，股价可能处于蓄势阶段，但方向尚未确认。</w:t>
            </w:r>
          </w:p>
        </w:tc>
      </w:tr>
      <w:tr>
        <w:tc>
          <w:tcPr>
            <w:tcW w:type="dxa" w:w="960"/>
          </w:tcPr>
          <w:p>
            <w:r>
              <w:t>INOD</w:t>
            </w:r>
          </w:p>
        </w:tc>
        <w:tc>
          <w:tcPr>
            <w:tcW w:type="dxa" w:w="960"/>
          </w:tcPr>
          <w:p>
            <w:r>
              <w:t>Innodata</w:t>
            </w:r>
          </w:p>
        </w:tc>
        <w:tc>
          <w:tcPr>
            <w:tcW w:type="dxa" w:w="960"/>
          </w:tcPr>
          <w:p>
            <w:r>
              <w:t>B 中等信号</w:t>
            </w:r>
          </w:p>
        </w:tc>
        <w:tc>
          <w:tcPr>
            <w:tcW w:type="dxa" w:w="960"/>
          </w:tcPr>
          <w:p>
            <w:r>
              <w:t>强收口：Bandwidth创近100日新低；中轨附近窄幅震荡；低位形态</w:t>
            </w:r>
          </w:p>
        </w:tc>
        <w:tc>
          <w:tcPr>
            <w:tcW w:type="dxa" w:w="960"/>
          </w:tcPr>
          <w:p>
            <w:r>
              <w:t>中轨附近</w:t>
            </w:r>
          </w:p>
        </w:tc>
        <w:tc>
          <w:tcPr>
            <w:tcW w:type="dxa" w:w="960"/>
          </w:tcPr>
          <w:p>
            <w:r>
              <w:t>16.74%</w:t>
            </w:r>
          </w:p>
        </w:tc>
        <w:tc>
          <w:tcPr>
            <w:tcW w:type="dxa" w:w="960"/>
          </w:tcPr>
          <w:p>
            <w:r>
              <w:t>0.608</w:t>
            </w:r>
          </w:p>
        </w:tc>
        <w:tc>
          <w:tcPr>
            <w:tcW w:type="dxa" w:w="960"/>
          </w:tcPr>
          <w:p>
            <w:r>
              <w:t>1.90</w:t>
            </w:r>
          </w:p>
        </w:tc>
        <w:tc>
          <w:tcPr>
            <w:tcW w:type="dxa" w:w="960"/>
          </w:tcPr>
          <w:p>
            <w:r>
              <w:t>布林带收口，说明波动率下降，股价可能处于蓄势阶段，但方向尚未确认。</w:t>
            </w:r>
          </w:p>
        </w:tc>
      </w:tr>
      <w:tr>
        <w:tc>
          <w:tcPr>
            <w:tcW w:type="dxa" w:w="960"/>
          </w:tcPr>
          <w:p>
            <w:r>
              <w:t>CRCL</w:t>
            </w:r>
          </w:p>
        </w:tc>
        <w:tc>
          <w:tcPr>
            <w:tcW w:type="dxa" w:w="960"/>
          </w:tcPr>
          <w:p>
            <w:r>
              <w:t>Circle Internet Group</w:t>
            </w:r>
          </w:p>
        </w:tc>
        <w:tc>
          <w:tcPr>
            <w:tcW w:type="dxa" w:w="960"/>
          </w:tcPr>
          <w:p>
            <w:r>
              <w:t>B 中等信号</w:t>
            </w:r>
          </w:p>
        </w:tc>
        <w:tc>
          <w:tcPr>
            <w:tcW w:type="dxa" w:w="960"/>
          </w:tcPr>
          <w:p>
            <w:r>
              <w:t>下轨反弹：处于中轨与上轨之间；成交量温和改善</w:t>
            </w:r>
          </w:p>
        </w:tc>
        <w:tc>
          <w:tcPr>
            <w:tcW w:type="dxa" w:w="960"/>
          </w:tcPr>
          <w:p>
            <w:r>
              <w:t>中轨附近</w:t>
            </w:r>
          </w:p>
        </w:tc>
        <w:tc>
          <w:tcPr>
            <w:tcW w:type="dxa" w:w="960"/>
          </w:tcPr>
          <w:p>
            <w:r>
              <w:t>23.66%</w:t>
            </w:r>
          </w:p>
        </w:tc>
        <w:tc>
          <w:tcPr>
            <w:tcW w:type="dxa" w:w="960"/>
          </w:tcPr>
          <w:p>
            <w:r>
              <w:t>0.515</w:t>
            </w:r>
          </w:p>
        </w:tc>
        <w:tc>
          <w:tcPr>
            <w:tcW w:type="dxa" w:w="960"/>
          </w:tcPr>
          <w:p>
            <w:r>
              <w:t>1.80</w:t>
            </w:r>
          </w:p>
        </w:tc>
        <w:tc>
          <w:tcPr>
            <w:tcW w:type="dxa" w:w="960"/>
          </w:tcPr>
          <w:p>
            <w:r>
              <w:t>股价从下轨附近反弹并回到中轨上方，目前处于中轨与上轨之间，说明短线修复有所增强，但仍需要成</w:t>
            </w:r>
          </w:p>
        </w:tc>
      </w:tr>
      <w:tr>
        <w:tc>
          <w:tcPr>
            <w:tcW w:type="dxa" w:w="960"/>
          </w:tcPr>
          <w:p>
            <w:r>
              <w:t>INTC</w:t>
            </w:r>
          </w:p>
        </w:tc>
        <w:tc>
          <w:tcPr>
            <w:tcW w:type="dxa" w:w="960"/>
          </w:tcPr>
          <w:p>
            <w:r>
              <w:t>Intel</w:t>
            </w:r>
          </w:p>
        </w:tc>
        <w:tc>
          <w:tcPr>
            <w:tcW w:type="dxa" w:w="960"/>
          </w:tcPr>
          <w:p>
            <w:r>
              <w:t>B 中等信号</w:t>
            </w:r>
          </w:p>
        </w:tc>
        <w:tc>
          <w:tcPr>
            <w:tcW w:type="dxa" w:w="960"/>
          </w:tcPr>
          <w:p>
            <w:r>
              <w:t>布林带向上开口（最近3天）；成交量放大</w:t>
            </w:r>
          </w:p>
        </w:tc>
        <w:tc>
          <w:tcPr>
            <w:tcW w:type="dxa" w:w="960"/>
          </w:tcPr>
          <w:p>
            <w:r>
              <w:t>靠近上轨</w:t>
            </w:r>
          </w:p>
        </w:tc>
        <w:tc>
          <w:tcPr>
            <w:tcW w:type="dxa" w:w="960"/>
          </w:tcPr>
          <w:p>
            <w:r>
              <w:t>30.12%</w:t>
            </w:r>
          </w:p>
        </w:tc>
        <w:tc>
          <w:tcPr>
            <w:tcW w:type="dxa" w:w="960"/>
          </w:tcPr>
          <w:p>
            <w:r>
              <w:t>0.941</w:t>
            </w:r>
          </w:p>
        </w:tc>
        <w:tc>
          <w:tcPr>
            <w:tcW w:type="dxa" w:w="960"/>
          </w:tcPr>
          <w:p>
            <w:r>
              <w:t>1.78</w:t>
            </w:r>
          </w:p>
        </w:tc>
        <w:tc>
          <w:tcPr>
            <w:tcW w:type="dxa" w:w="960"/>
          </w:tcPr>
          <w:p>
            <w:r>
              <w:t>布林带向上开口，说明波动率开始放大，股价接近上轨，可能进入趋势启动观察阶段，需要继续结合突</w:t>
            </w:r>
          </w:p>
        </w:tc>
      </w:tr>
      <w:tr>
        <w:tc>
          <w:tcPr>
            <w:tcW w:type="dxa" w:w="960"/>
          </w:tcPr>
          <w:p>
            <w:r>
              <w:t>BB</w:t>
            </w:r>
          </w:p>
        </w:tc>
        <w:tc>
          <w:tcPr>
            <w:tcW w:type="dxa" w:w="960"/>
          </w:tcPr>
          <w:p>
            <w:r>
              <w:t>BlackBerry</w:t>
            </w:r>
          </w:p>
        </w:tc>
        <w:tc>
          <w:tcPr>
            <w:tcW w:type="dxa" w:w="960"/>
          </w:tcPr>
          <w:p>
            <w:r>
              <w:t>B 中等信号</w:t>
            </w:r>
          </w:p>
        </w:tc>
        <w:tc>
          <w:tcPr>
            <w:tcW w:type="dxa" w:w="960"/>
          </w:tcPr>
          <w:p>
            <w:r>
              <w:t>强收口：Bandwidth创近100日新低；中轨附近窄幅震荡</w:t>
            </w:r>
          </w:p>
        </w:tc>
        <w:tc>
          <w:tcPr>
            <w:tcW w:type="dxa" w:w="960"/>
          </w:tcPr>
          <w:p>
            <w:r>
              <w:t>中轨附近</w:t>
            </w:r>
          </w:p>
        </w:tc>
        <w:tc>
          <w:tcPr>
            <w:tcW w:type="dxa" w:w="960"/>
          </w:tcPr>
          <w:p>
            <w:r>
              <w:t>12.66%</w:t>
            </w:r>
          </w:p>
        </w:tc>
        <w:tc>
          <w:tcPr>
            <w:tcW w:type="dxa" w:w="960"/>
          </w:tcPr>
          <w:p>
            <w:r>
              <w:t>0.640</w:t>
            </w:r>
          </w:p>
        </w:tc>
        <w:tc>
          <w:tcPr>
            <w:tcW w:type="dxa" w:w="960"/>
          </w:tcPr>
          <w:p>
            <w:r>
              <w:t>1.43</w:t>
            </w:r>
          </w:p>
        </w:tc>
        <w:tc>
          <w:tcPr>
            <w:tcW w:type="dxa" w:w="960"/>
          </w:tcPr>
          <w:p>
            <w:r>
              <w:t>布林带收口，说明波动率下降，股价可能处于蓄势阶段，但方向尚未确认。</w:t>
            </w:r>
          </w:p>
        </w:tc>
      </w:tr>
      <w:tr>
        <w:tc>
          <w:tcPr>
            <w:tcW w:type="dxa" w:w="960"/>
          </w:tcPr>
          <w:p>
            <w:r>
              <w:t>SHAZ</w:t>
            </w:r>
          </w:p>
        </w:tc>
        <w:tc>
          <w:tcPr>
            <w:tcW w:type="dxa" w:w="960"/>
          </w:tcPr>
          <w:p>
            <w:r>
              <w:t>Shaz</w:t>
            </w:r>
          </w:p>
        </w:tc>
        <w:tc>
          <w:tcPr>
            <w:tcW w:type="dxa" w:w="960"/>
          </w:tcPr>
          <w:p>
            <w:r>
              <w:t>B 中等信号</w:t>
            </w:r>
          </w:p>
        </w:tc>
        <w:tc>
          <w:tcPr>
            <w:tcW w:type="dxa" w:w="960"/>
          </w:tcPr>
          <w:p>
            <w:r>
              <w:t>下轨反弹：处于中轨与上轨之间；成交量温和改善</w:t>
            </w:r>
          </w:p>
        </w:tc>
        <w:tc>
          <w:tcPr>
            <w:tcW w:type="dxa" w:w="960"/>
          </w:tcPr>
          <w:p>
            <w:r>
              <w:t>中轨附近</w:t>
            </w:r>
          </w:p>
        </w:tc>
        <w:tc>
          <w:tcPr>
            <w:tcW w:type="dxa" w:w="960"/>
          </w:tcPr>
          <w:p>
            <w:r>
              <w:t>21.29%</w:t>
            </w:r>
          </w:p>
        </w:tc>
        <w:tc>
          <w:tcPr>
            <w:tcW w:type="dxa" w:w="960"/>
          </w:tcPr>
          <w:p>
            <w:r>
              <w:t>0.626</w:t>
            </w:r>
          </w:p>
        </w:tc>
        <w:tc>
          <w:tcPr>
            <w:tcW w:type="dxa" w:w="960"/>
          </w:tcPr>
          <w:p>
            <w:r>
              <w:t>1.43</w:t>
            </w:r>
          </w:p>
        </w:tc>
        <w:tc>
          <w:tcPr>
            <w:tcW w:type="dxa" w:w="960"/>
          </w:tcPr>
          <w:p>
            <w:r>
              <w:t>股价从下轨附近反弹并回到中轨上方，目前处于中轨与上轨之间，说明短线修复有所增强，但仍需要成</w:t>
            </w:r>
          </w:p>
        </w:tc>
      </w:tr>
      <w:tr>
        <w:tc>
          <w:tcPr>
            <w:tcW w:type="dxa" w:w="960"/>
          </w:tcPr>
          <w:p>
            <w:r>
              <w:t>CORZ</w:t>
            </w:r>
          </w:p>
        </w:tc>
        <w:tc>
          <w:tcPr>
            <w:tcW w:type="dxa" w:w="960"/>
          </w:tcPr>
          <w:p>
            <w:r>
              <w:t>Core Scientific, Inc.</w:t>
            </w:r>
          </w:p>
        </w:tc>
        <w:tc>
          <w:tcPr>
            <w:tcW w:type="dxa" w:w="960"/>
          </w:tcPr>
          <w:p>
            <w:r>
              <w:t>B 中等信号</w:t>
            </w:r>
          </w:p>
        </w:tc>
        <w:tc>
          <w:tcPr>
            <w:tcW w:type="dxa" w:w="960"/>
          </w:tcPr>
          <w:p>
            <w:r>
              <w:t>下轨反弹：处于中轨与上轨之间；成交量温和改善；低位形态</w:t>
            </w:r>
          </w:p>
        </w:tc>
        <w:tc>
          <w:tcPr>
            <w:tcW w:type="dxa" w:w="960"/>
          </w:tcPr>
          <w:p>
            <w:r>
              <w:t>中轨上方</w:t>
            </w:r>
          </w:p>
        </w:tc>
        <w:tc>
          <w:tcPr>
            <w:tcW w:type="dxa" w:w="960"/>
          </w:tcPr>
          <w:p>
            <w:r>
              <w:t>16.66%</w:t>
            </w:r>
          </w:p>
        </w:tc>
        <w:tc>
          <w:tcPr>
            <w:tcW w:type="dxa" w:w="960"/>
          </w:tcPr>
          <w:p>
            <w:r>
              <w:t>0.726</w:t>
            </w:r>
          </w:p>
        </w:tc>
        <w:tc>
          <w:tcPr>
            <w:tcW w:type="dxa" w:w="960"/>
          </w:tcPr>
          <w:p>
            <w:r>
              <w:t>1.22</w:t>
            </w:r>
          </w:p>
        </w:tc>
        <w:tc>
          <w:tcPr>
            <w:tcW w:type="dxa" w:w="960"/>
          </w:tcPr>
          <w:p>
            <w:r>
              <w:t>股价从下轨附近反弹并回到中轨上方，目前处于中轨与上轨之间，说明短线修复有所增强，但仍需要成</w:t>
            </w:r>
          </w:p>
        </w:tc>
      </w:tr>
      <w:tr>
        <w:tc>
          <w:tcPr>
            <w:tcW w:type="dxa" w:w="960"/>
          </w:tcPr>
          <w:p>
            <w:r>
              <w:t>FLY</w:t>
            </w:r>
          </w:p>
        </w:tc>
        <w:tc>
          <w:tcPr>
            <w:tcW w:type="dxa" w:w="960"/>
          </w:tcPr>
          <w:p>
            <w:r>
              <w:t>Firefly Aerospace</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18.12%</w:t>
            </w:r>
          </w:p>
        </w:tc>
        <w:tc>
          <w:tcPr>
            <w:tcW w:type="dxa" w:w="960"/>
          </w:tcPr>
          <w:p>
            <w:r>
              <w:t>0.331</w:t>
            </w:r>
          </w:p>
        </w:tc>
        <w:tc>
          <w:tcPr>
            <w:tcW w:type="dxa" w:w="960"/>
          </w:tcPr>
          <w:p>
            <w:r>
              <w:t>3.46</w:t>
            </w:r>
          </w:p>
        </w:tc>
        <w:tc>
          <w:tcPr>
            <w:tcW w:type="dxa" w:w="960"/>
          </w:tcPr>
          <w:p>
            <w:r>
              <w:t>布林带收口，说明波动率下降，股价可能处于蓄势阶段，但方向尚未确认。</w:t>
            </w:r>
          </w:p>
        </w:tc>
      </w:tr>
      <w:tr>
        <w:tc>
          <w:tcPr>
            <w:tcW w:type="dxa" w:w="960"/>
          </w:tcPr>
          <w:p>
            <w:r>
              <w:t>RDW</w:t>
            </w:r>
          </w:p>
        </w:tc>
        <w:tc>
          <w:tcPr>
            <w:tcW w:type="dxa" w:w="960"/>
          </w:tcPr>
          <w:p>
            <w:r>
              <w:t>Redwire Corporation</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16.73%</w:t>
            </w:r>
          </w:p>
        </w:tc>
        <w:tc>
          <w:tcPr>
            <w:tcW w:type="dxa" w:w="960"/>
          </w:tcPr>
          <w:p>
            <w:r>
              <w:t>0.406</w:t>
            </w:r>
          </w:p>
        </w:tc>
        <w:tc>
          <w:tcPr>
            <w:tcW w:type="dxa" w:w="960"/>
          </w:tcPr>
          <w:p>
            <w:r>
              <w:t>2.67</w:t>
            </w:r>
          </w:p>
        </w:tc>
        <w:tc>
          <w:tcPr>
            <w:tcW w:type="dxa" w:w="960"/>
          </w:tcPr>
          <w:p>
            <w:r>
              <w:t>布林带收口，说明波动率下降，股价可能处于蓄势阶段，但方向尚未确认。</w:t>
            </w:r>
          </w:p>
        </w:tc>
      </w:tr>
      <w:tr>
        <w:tc>
          <w:tcPr>
            <w:tcW w:type="dxa" w:w="960"/>
          </w:tcPr>
          <w:p>
            <w:r>
              <w:t>MSFT</w:t>
            </w:r>
          </w:p>
        </w:tc>
        <w:tc>
          <w:tcPr>
            <w:tcW w:type="dxa" w:w="960"/>
          </w:tcPr>
          <w:p>
            <w:r>
              <w:t>Microsoft Corporation</w:t>
            </w:r>
          </w:p>
        </w:tc>
        <w:tc>
          <w:tcPr>
            <w:tcW w:type="dxa" w:w="960"/>
          </w:tcPr>
          <w:p>
            <w:r>
              <w:t>C 观察信号</w:t>
            </w:r>
          </w:p>
        </w:tc>
        <w:tc>
          <w:tcPr>
            <w:tcW w:type="dxa" w:w="960"/>
          </w:tcPr>
          <w:p>
            <w:r>
              <w:t>弱收口：Bandwidth连续16天维持低于近8个月30%分位；中轨附近窄幅震荡</w:t>
            </w:r>
          </w:p>
        </w:tc>
        <w:tc>
          <w:tcPr>
            <w:tcW w:type="dxa" w:w="960"/>
          </w:tcPr>
          <w:p>
            <w:r>
              <w:t>中轨附近</w:t>
            </w:r>
          </w:p>
        </w:tc>
        <w:tc>
          <w:tcPr>
            <w:tcW w:type="dxa" w:w="960"/>
          </w:tcPr>
          <w:p>
            <w:r>
              <w:t>6.05%</w:t>
            </w:r>
          </w:p>
        </w:tc>
        <w:tc>
          <w:tcPr>
            <w:tcW w:type="dxa" w:w="960"/>
          </w:tcPr>
          <w:p>
            <w:r>
              <w:t>0.376</w:t>
            </w:r>
          </w:p>
        </w:tc>
        <w:tc>
          <w:tcPr>
            <w:tcW w:type="dxa" w:w="960"/>
          </w:tcPr>
          <w:p>
            <w:r>
              <w:t>1.88</w:t>
            </w:r>
          </w:p>
        </w:tc>
        <w:tc>
          <w:tcPr>
            <w:tcW w:type="dxa" w:w="960"/>
          </w:tcPr>
          <w:p>
            <w:r>
              <w:t>布林带收口，说明波动率下降，股价可能处于蓄势阶段，但方向尚未确认。</w:t>
            </w:r>
          </w:p>
        </w:tc>
      </w:tr>
      <w:tr>
        <w:tc>
          <w:tcPr>
            <w:tcW w:type="dxa" w:w="960"/>
          </w:tcPr>
          <w:p>
            <w:r>
              <w:t>RKLB</w:t>
            </w:r>
          </w:p>
        </w:tc>
        <w:tc>
          <w:tcPr>
            <w:tcW w:type="dxa" w:w="960"/>
          </w:tcPr>
          <w:p>
            <w:r>
              <w:t>Rocket Lab USA</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15.61%</w:t>
            </w:r>
          </w:p>
        </w:tc>
        <w:tc>
          <w:tcPr>
            <w:tcW w:type="dxa" w:w="960"/>
          </w:tcPr>
          <w:p>
            <w:r>
              <w:t>0.460</w:t>
            </w:r>
          </w:p>
        </w:tc>
        <w:tc>
          <w:tcPr>
            <w:tcW w:type="dxa" w:w="960"/>
          </w:tcPr>
          <w:p>
            <w:r>
              <w:t>1.81</w:t>
            </w:r>
          </w:p>
        </w:tc>
        <w:tc>
          <w:tcPr>
            <w:tcW w:type="dxa" w:w="960"/>
          </w:tcPr>
          <w:p>
            <w:r>
              <w:t>布林带收口，说明波动率下降，股价可能处于蓄势阶段，但方向尚未确认。</w:t>
            </w:r>
          </w:p>
        </w:tc>
      </w:tr>
      <w:tr>
        <w:tc>
          <w:tcPr>
            <w:tcW w:type="dxa" w:w="960"/>
          </w:tcPr>
          <w:p>
            <w:r>
              <w:t>ORCL</w:t>
            </w:r>
          </w:p>
        </w:tc>
        <w:tc>
          <w:tcPr>
            <w:tcW w:type="dxa" w:w="960"/>
          </w:tcPr>
          <w:p>
            <w:r>
              <w:t>Oracle</w:t>
            </w:r>
          </w:p>
        </w:tc>
        <w:tc>
          <w:tcPr>
            <w:tcW w:type="dxa" w:w="960"/>
          </w:tcPr>
          <w:p>
            <w:r>
              <w:t>C 观察信号</w:t>
            </w:r>
          </w:p>
        </w:tc>
        <w:tc>
          <w:tcPr>
            <w:tcW w:type="dxa" w:w="960"/>
          </w:tcPr>
          <w:p>
            <w:r>
              <w:t>弱收口：Bandwidth连续16天维持低于近8个月30%分位；中轨附近窄幅震荡；低位形态</w:t>
            </w:r>
          </w:p>
        </w:tc>
        <w:tc>
          <w:tcPr>
            <w:tcW w:type="dxa" w:w="960"/>
          </w:tcPr>
          <w:p>
            <w:r>
              <w:t>中轨附近</w:t>
            </w:r>
          </w:p>
        </w:tc>
        <w:tc>
          <w:tcPr>
            <w:tcW w:type="dxa" w:w="960"/>
          </w:tcPr>
          <w:p>
            <w:r>
              <w:t>16.47%</w:t>
            </w:r>
          </w:p>
        </w:tc>
        <w:tc>
          <w:tcPr>
            <w:tcW w:type="dxa" w:w="960"/>
          </w:tcPr>
          <w:p>
            <w:r>
              <w:t>0.427</w:t>
            </w:r>
          </w:p>
        </w:tc>
        <w:tc>
          <w:tcPr>
            <w:tcW w:type="dxa" w:w="960"/>
          </w:tcPr>
          <w:p>
            <w:r>
              <w:t>1.29</w:t>
            </w:r>
          </w:p>
        </w:tc>
        <w:tc>
          <w:tcPr>
            <w:tcW w:type="dxa" w:w="960"/>
          </w:tcPr>
          <w:p>
            <w:r>
              <w:t>布林带收口，说明波动率下降，股价可能处于蓄势阶段，但方向尚未确认。</w:t>
            </w:r>
          </w:p>
        </w:tc>
      </w:tr>
      <w:tr>
        <w:tc>
          <w:tcPr>
            <w:tcW w:type="dxa" w:w="960"/>
          </w:tcPr>
          <w:p>
            <w:r>
              <w:t>SIVEF</w:t>
            </w:r>
          </w:p>
        </w:tc>
        <w:tc>
          <w:tcPr>
            <w:tcW w:type="dxa" w:w="960"/>
          </w:tcPr>
          <w:p>
            <w:r>
              <w:t>Sivers Semiconductors</w:t>
            </w:r>
          </w:p>
        </w:tc>
        <w:tc>
          <w:tcPr>
            <w:tcW w:type="dxa" w:w="960"/>
          </w:tcPr>
          <w:p>
            <w:r>
              <w:t>C 观察信号</w:t>
            </w:r>
          </w:p>
        </w:tc>
        <w:tc>
          <w:tcPr>
            <w:tcW w:type="dxa" w:w="960"/>
          </w:tcPr>
          <w:p>
            <w:r>
              <w:t>弱收口：Bandwidth低于近8个月30%分位且最近8个交易日及以上连续下降；中轨附近窄幅震荡；低位形态</w:t>
            </w:r>
          </w:p>
        </w:tc>
        <w:tc>
          <w:tcPr>
            <w:tcW w:type="dxa" w:w="960"/>
          </w:tcPr>
          <w:p>
            <w:r>
              <w:t>中轨附近</w:t>
            </w:r>
          </w:p>
        </w:tc>
        <w:tc>
          <w:tcPr>
            <w:tcW w:type="dxa" w:w="960"/>
          </w:tcPr>
          <w:p>
            <w:r>
              <w:t>54.09%</w:t>
            </w:r>
          </w:p>
        </w:tc>
        <w:tc>
          <w:tcPr>
            <w:tcW w:type="dxa" w:w="960"/>
          </w:tcPr>
          <w:p>
            <w:r>
              <w:t>0.578</w:t>
            </w:r>
          </w:p>
        </w:tc>
        <w:tc>
          <w:tcPr>
            <w:tcW w:type="dxa" w:w="960"/>
          </w:tcPr>
          <w:p>
            <w:r>
              <w:t>0.26</w:t>
            </w:r>
          </w:p>
        </w:tc>
        <w:tc>
          <w:tcPr>
            <w:tcW w:type="dxa" w:w="960"/>
          </w:tcPr>
          <w:p>
            <w:r>
              <w:t>布林带收口，说明波动率下降，股价可能处于蓄势阶段，但方向尚未确认。</w:t>
            </w:r>
          </w:p>
        </w:tc>
      </w:tr>
    </w:tbl>
    <w:p>
      <w:pPr>
        <w:pStyle w:val="Heading2"/>
      </w:pPr>
      <w:r>
        <w:t>二、重点结论</w:t>
      </w:r>
    </w:p>
    <w:p>
      <w:pPr>
        <w:pStyle w:val="ListBullet"/>
      </w:pPr>
      <w:r>
        <w:t>强信号：VICR, NOK, GOOG, COIN, IBRX, ALAB, CBRS, ARM, AMD, COHR, SNDK, MU。</w:t>
      </w:r>
    </w:p>
    <w:p>
      <w:pPr>
        <w:pStyle w:val="ListBullet"/>
      </w:pPr>
      <w:r>
        <w:t>中等信号：SPCX, INSP, MANE, LITE, INOD, CRCL, INTC, BB, SHAZ, CORZ。</w:t>
      </w:r>
    </w:p>
    <w:p>
      <w:pPr>
        <w:pStyle w:val="ListBullet"/>
      </w:pPr>
      <w:r>
        <w:t>观察信号：FLY, RDW, MSFT, RKLB, ORCL, SIVEF。</w:t>
      </w:r>
    </w:p>
    <w:p>
      <w:pPr>
        <w:pStyle w:val="ListBullet"/>
      </w:pPr>
      <w:r>
        <w:t>今日优先复核：VICR, NOK, GOOG, COIN, IBRX。优先看是否放量、能否站稳上轨或中轨。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VICR - Vicor Corporation</w:t>
      </w:r>
    </w:p>
    <w:p>
      <w:pPr>
        <w:pStyle w:val="ListBullet"/>
      </w:pPr>
      <w:r>
        <w:t>信号等级：A 强信号</w:t>
      </w:r>
    </w:p>
    <w:p>
      <w:pPr>
        <w:pStyle w:val="ListBullet"/>
      </w:pPr>
      <w:r>
        <w:t>最新收盘价：$222.72</w:t>
      </w:r>
    </w:p>
    <w:p>
      <w:pPr>
        <w:pStyle w:val="ListBullet"/>
      </w:pPr>
      <w:r>
        <w:t>BOLL：上轨 $215.44；中轨 $191.56；下轨 $167.69</w:t>
      </w:r>
    </w:p>
    <w:p>
      <w:pPr>
        <w:pStyle w:val="ListBullet"/>
      </w:pPr>
      <w:r>
        <w:t>Bandwidth：24.93%；历史分位：10.12%；%B：1.153</w:t>
      </w:r>
    </w:p>
    <w:p>
      <w:pPr>
        <w:pStyle w:val="ListBullet"/>
      </w:pPr>
      <w:r>
        <w:t>成交量：当日 1724000；20日均量 749960；量比 2.30</w:t>
      </w:r>
    </w:p>
    <w:p>
      <w:pPr>
        <w:pStyle w:val="ListBullet"/>
      </w:pPr>
      <w:r>
        <w:t>触发信号：布林带向上开口（最近1天）；成交量放大；放量突破上轨-强；连续2日站上上轨；中轨反弹并接近上轨；成交量放大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NOK - Nokia Oyj</w:t>
      </w:r>
    </w:p>
    <w:p>
      <w:pPr>
        <w:pStyle w:val="ListBullet"/>
      </w:pPr>
      <w:r>
        <w:t>信号等级：A 强信号</w:t>
      </w:r>
    </w:p>
    <w:p>
      <w:pPr>
        <w:pStyle w:val="ListBullet"/>
      </w:pPr>
      <w:r>
        <w:t>最新收盘价：$10.68</w:t>
      </w:r>
    </w:p>
    <w:p>
      <w:pPr>
        <w:pStyle w:val="ListBullet"/>
      </w:pPr>
      <w:r>
        <w:t>BOLL：上轨 $11.05；中轨 $10.28；下轨 $9.51</w:t>
      </w:r>
    </w:p>
    <w:p>
      <w:pPr>
        <w:pStyle w:val="ListBullet"/>
      </w:pPr>
      <w:r>
        <w:t>Bandwidth：14.99%；历史分位：19.64%；%B：0.763</w:t>
      </w:r>
    </w:p>
    <w:p>
      <w:pPr>
        <w:pStyle w:val="ListBullet"/>
      </w:pPr>
      <w:r>
        <w:t>成交量：当日 161856800；20日均量 79796195；量比 2.03</w:t>
      </w:r>
    </w:p>
    <w:p>
      <w:pPr>
        <w:pStyle w:val="ListBullet"/>
      </w:pPr>
      <w:r>
        <w:t>触发信号：中轨反弹并接近上轨；成交量放大；下轨反弹：处于中轨与上轨之间；成交量温和改善</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GOOG - Alphabet Inc.</w:t>
      </w:r>
    </w:p>
    <w:p>
      <w:pPr>
        <w:pStyle w:val="ListBullet"/>
      </w:pPr>
      <w:r>
        <w:t>信号等级：A 强信号</w:t>
      </w:r>
    </w:p>
    <w:p>
      <w:pPr>
        <w:pStyle w:val="ListBullet"/>
      </w:pPr>
      <w:r>
        <w:t>最新收盘价：$344.41</w:t>
      </w:r>
    </w:p>
    <w:p>
      <w:pPr>
        <w:pStyle w:val="ListBullet"/>
      </w:pPr>
      <w:r>
        <w:t>BOLL：上轨 $348.31；中轨 $338.46；下轨 $328.60</w:t>
      </w:r>
    </w:p>
    <w:p>
      <w:pPr>
        <w:pStyle w:val="ListBullet"/>
      </w:pPr>
      <w:r>
        <w:t>Bandwidth：5.82%；历史分位：11.31%；%B：0.802</w:t>
      </w:r>
    </w:p>
    <w:p>
      <w:pPr>
        <w:pStyle w:val="ListBullet"/>
      </w:pPr>
      <w:r>
        <w:t>成交量：当日 34044600；20日均量 16983110；量比 2.00</w:t>
      </w:r>
    </w:p>
    <w:p>
      <w:pPr>
        <w:pStyle w:val="ListBullet"/>
      </w:pPr>
      <w:r>
        <w:t>触发信号：中轨反弹并接近上轨；成交量放大；下轨反弹：处于中轨与上轨之间；成交量温和改善</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COIN - Coinbase Global, Inc.</w:t>
      </w:r>
    </w:p>
    <w:p>
      <w:pPr>
        <w:pStyle w:val="ListBullet"/>
      </w:pPr>
      <w:r>
        <w:t>信号等级：A 强信号</w:t>
      </w:r>
    </w:p>
    <w:p>
      <w:pPr>
        <w:pStyle w:val="ListBullet"/>
      </w:pPr>
      <w:r>
        <w:t>最新收盘价：$194.25</w:t>
      </w:r>
    </w:p>
    <w:p>
      <w:pPr>
        <w:pStyle w:val="ListBullet"/>
      </w:pPr>
      <w:r>
        <w:t>BOLL：上轨 $196.85；中轨 $180.95；下轨 $165.05</w:t>
      </w:r>
    </w:p>
    <w:p>
      <w:pPr>
        <w:pStyle w:val="ListBullet"/>
      </w:pPr>
      <w:r>
        <w:t>Bandwidth：17.57%；历史分位：15.48%；%B：0.918</w:t>
      </w:r>
    </w:p>
    <w:p>
      <w:pPr>
        <w:pStyle w:val="ListBullet"/>
      </w:pPr>
      <w:r>
        <w:t>成交量：当日 21861700；20日均量 11034795；量比 1.98</w:t>
      </w:r>
    </w:p>
    <w:p>
      <w:pPr>
        <w:pStyle w:val="ListBullet"/>
      </w:pPr>
      <w:r>
        <w:t>触发信号：中轨反弹并接近上轨；成交量放大；下轨反弹：处于中轨与上轨之间；成交量温和改善；低位形态</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IBRX - ImmunityBio, Inc.</w:t>
      </w:r>
    </w:p>
    <w:p>
      <w:pPr>
        <w:pStyle w:val="ListBullet"/>
      </w:pPr>
      <w:r>
        <w:t>信号等级：A 强信号</w:t>
      </w:r>
    </w:p>
    <w:p>
      <w:pPr>
        <w:pStyle w:val="ListBullet"/>
      </w:pPr>
      <w:r>
        <w:t>最新收盘价：$8.48</w:t>
      </w:r>
    </w:p>
    <w:p>
      <w:pPr>
        <w:pStyle w:val="ListBullet"/>
      </w:pPr>
      <w:r>
        <w:t>BOLL：上轨 $8.57；中轨 $8.08；下轨 $7.59</w:t>
      </w:r>
    </w:p>
    <w:p>
      <w:pPr>
        <w:pStyle w:val="ListBullet"/>
      </w:pPr>
      <w:r>
        <w:t>Bandwidth：12.08%；历史分位：4.76%；%B：0.908</w:t>
      </w:r>
    </w:p>
    <w:p>
      <w:pPr>
        <w:pStyle w:val="ListBullet"/>
      </w:pPr>
      <w:r>
        <w:t>成交量：当日 18414300；20日均量 9405425；量比 1.96</w:t>
      </w:r>
    </w:p>
    <w:p>
      <w:pPr>
        <w:pStyle w:val="ListBullet"/>
      </w:pPr>
      <w:r>
        <w:t>触发信号：布林带向上开口（最近2天）；成交量放大；中轨反弹并接近上轨；成交量放大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ALAB - Astera Labs</w:t>
      </w:r>
    </w:p>
    <w:p>
      <w:pPr>
        <w:pStyle w:val="ListBullet"/>
      </w:pPr>
      <w:r>
        <w:t>信号等级：A 强信号</w:t>
      </w:r>
    </w:p>
    <w:p>
      <w:pPr>
        <w:pStyle w:val="ListBullet"/>
      </w:pPr>
      <w:r>
        <w:t>最新收盘价：$303.25</w:t>
      </w:r>
    </w:p>
    <w:p>
      <w:pPr>
        <w:pStyle w:val="ListBullet"/>
      </w:pPr>
      <w:r>
        <w:t>BOLL：上轨 $314.64；中轨 $285.70；下轨 $256.75</w:t>
      </w:r>
    </w:p>
    <w:p>
      <w:pPr>
        <w:pStyle w:val="ListBullet"/>
      </w:pPr>
      <w:r>
        <w:t>Bandwidth：20.26%；历史分位：16.07%；%B：0.803</w:t>
      </w:r>
    </w:p>
    <w:p>
      <w:pPr>
        <w:pStyle w:val="ListBullet"/>
      </w:pPr>
      <w:r>
        <w:t>成交量：当日 7065900；20日均量 3625780；量比 1.95</w:t>
      </w:r>
    </w:p>
    <w:p>
      <w:pPr>
        <w:pStyle w:val="ListBullet"/>
      </w:pPr>
      <w:r>
        <w:t>触发信号：中轨反弹并接近上轨；成交量放大；下轨反弹：处于中轨与上轨之间；成交量温和改善</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CBRS - Chain Bridge Bancorp</w:t>
      </w:r>
    </w:p>
    <w:p>
      <w:pPr>
        <w:pStyle w:val="ListBullet"/>
      </w:pPr>
      <w:r>
        <w:t>信号等级：A 强信号</w:t>
      </w:r>
    </w:p>
    <w:p>
      <w:pPr>
        <w:pStyle w:val="ListBullet"/>
      </w:pPr>
      <w:r>
        <w:t>最新收盘价：$198.37</w:t>
      </w:r>
    </w:p>
    <w:p>
      <w:pPr>
        <w:pStyle w:val="ListBullet"/>
      </w:pPr>
      <w:r>
        <w:t>BOLL：上轨 $205.75；中轨 $189.14；下轨 $172.52</w:t>
      </w:r>
    </w:p>
    <w:p>
      <w:pPr>
        <w:pStyle w:val="ListBullet"/>
      </w:pPr>
      <w:r>
        <w:t>Bandwidth：17.57%；历史分位：1.45%；%B：0.778</w:t>
      </w:r>
    </w:p>
    <w:p>
      <w:pPr>
        <w:pStyle w:val="ListBullet"/>
      </w:pPr>
      <w:r>
        <w:t>成交量：当日 10791700；20日均量 6225740；量比 1.73</w:t>
      </w:r>
    </w:p>
    <w:p>
      <w:pPr>
        <w:pStyle w:val="ListBullet"/>
      </w:pPr>
      <w:r>
        <w:t>触发信号：中轨反弹并接近上轨；成交量放大；低位形态</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ARM - Arm Holdings</w:t>
      </w:r>
    </w:p>
    <w:p>
      <w:pPr>
        <w:pStyle w:val="ListBullet"/>
      </w:pPr>
      <w:r>
        <w:t>信号等级：A 强信号</w:t>
      </w:r>
    </w:p>
    <w:p>
      <w:pPr>
        <w:pStyle w:val="ListBullet"/>
      </w:pPr>
      <w:r>
        <w:t>最新收盘价：$275.61</w:t>
      </w:r>
    </w:p>
    <w:p>
      <w:pPr>
        <w:pStyle w:val="ListBullet"/>
      </w:pPr>
      <w:r>
        <w:t>BOLL：上轨 $272.23；中轨 $249.27；下轨 $226.30</w:t>
      </w:r>
    </w:p>
    <w:p>
      <w:pPr>
        <w:pStyle w:val="ListBullet"/>
      </w:pPr>
      <w:r>
        <w:t>Bandwidth：18.43%；历史分位：17.86%；%B：1.074</w:t>
      </w:r>
    </w:p>
    <w:p>
      <w:pPr>
        <w:pStyle w:val="ListBullet"/>
      </w:pPr>
      <w:r>
        <w:t>成交量：当日 6943100；20日均量 4072810；量比 1.70</w:t>
      </w:r>
    </w:p>
    <w:p>
      <w:pPr>
        <w:pStyle w:val="ListBullet"/>
      </w:pPr>
      <w:r>
        <w:t>触发信号：布林带向上开口（最近2天）；成交量放大；放量突破上轨-中；中轨反弹并接近上轨；成交量放大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AMD - Advanced Micro Devices</w:t>
      </w:r>
    </w:p>
    <w:p>
      <w:pPr>
        <w:pStyle w:val="ListBullet"/>
      </w:pPr>
      <w:r>
        <w:t>信号等级：A 强信号</w:t>
      </w:r>
    </w:p>
    <w:p>
      <w:pPr>
        <w:pStyle w:val="ListBullet"/>
      </w:pPr>
      <w:r>
        <w:t>最新收盘价：$559.82</w:t>
      </w:r>
    </w:p>
    <w:p>
      <w:pPr>
        <w:pStyle w:val="ListBullet"/>
      </w:pPr>
      <w:r>
        <w:t>BOLL：上轨 $548.62；中轨 $490.75；下轨 $432.89</w:t>
      </w:r>
    </w:p>
    <w:p>
      <w:pPr>
        <w:pStyle w:val="ListBullet"/>
      </w:pPr>
      <w:r>
        <w:t>Bandwidth：23.58%；历史分位：47.02%；%B：1.097</w:t>
      </w:r>
    </w:p>
    <w:p>
      <w:pPr>
        <w:pStyle w:val="ListBullet"/>
      </w:pPr>
      <w:r>
        <w:t>成交量：当日 31785700；20日均量 19056775；量比 1.67</w:t>
      </w:r>
    </w:p>
    <w:p>
      <w:pPr>
        <w:pStyle w:val="ListBullet"/>
      </w:pPr>
      <w:r>
        <w:t>触发信号：布林带向上开口（最近3天）；成交量放大；放量突破上轨-中；连续2日站上上轨</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COHR - Coherent</w:t>
      </w:r>
    </w:p>
    <w:p>
      <w:pPr>
        <w:pStyle w:val="ListBullet"/>
      </w:pPr>
      <w:r>
        <w:t>信号等级：A 强信号</w:t>
      </w:r>
    </w:p>
    <w:p>
      <w:pPr>
        <w:pStyle w:val="ListBullet"/>
      </w:pPr>
      <w:r>
        <w:t>最新收盘价：$317.36</w:t>
      </w:r>
    </w:p>
    <w:p>
      <w:pPr>
        <w:pStyle w:val="ListBullet"/>
      </w:pPr>
      <w:r>
        <w:t>BOLL：上轨 $315.06；中轨 $286.59；下轨 $258.11</w:t>
      </w:r>
    </w:p>
    <w:p>
      <w:pPr>
        <w:pStyle w:val="ListBullet"/>
      </w:pPr>
      <w:r>
        <w:t>Bandwidth：19.87%；历史分位：7.14%；%B：1.040</w:t>
      </w:r>
    </w:p>
    <w:p>
      <w:pPr>
        <w:pStyle w:val="ListBullet"/>
      </w:pPr>
      <w:r>
        <w:t>成交量：当日 10161600；20日均量 6124740；量比 1.66</w:t>
      </w:r>
    </w:p>
    <w:p>
      <w:pPr>
        <w:pStyle w:val="ListBullet"/>
      </w:pPr>
      <w:r>
        <w:t>触发信号：布林带向上开口（最近2天）；成交量放大；放量突破上轨-中；中轨反弹并接近上轨；成交量放大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SNDK - Sandisk Corporation</w:t>
      </w:r>
    </w:p>
    <w:p>
      <w:pPr>
        <w:pStyle w:val="ListBullet"/>
      </w:pPr>
      <w:r>
        <w:t>信号等级：A 强信号</w:t>
      </w:r>
    </w:p>
    <w:p>
      <w:pPr>
        <w:pStyle w:val="ListBullet"/>
      </w:pPr>
      <w:r>
        <w:t>最新收盘价：$1791.82</w:t>
      </w:r>
    </w:p>
    <w:p>
      <w:pPr>
        <w:pStyle w:val="ListBullet"/>
      </w:pPr>
      <w:r>
        <w:t>BOLL：上轨 $1789.32；中轨 $1591.42；下轨 $1393.51</w:t>
      </w:r>
    </w:p>
    <w:p>
      <w:pPr>
        <w:pStyle w:val="ListBullet"/>
      </w:pPr>
      <w:r>
        <w:t>Bandwidth：24.87%；历史分位：10.71%；%B：1.006</w:t>
      </w:r>
    </w:p>
    <w:p>
      <w:pPr>
        <w:pStyle w:val="ListBullet"/>
      </w:pPr>
      <w:r>
        <w:t>成交量：当日 17693500；20日均量 10741825；量比 1.65</w:t>
      </w:r>
    </w:p>
    <w:p>
      <w:pPr>
        <w:pStyle w:val="ListBullet"/>
      </w:pPr>
      <w:r>
        <w:t>触发信号：布林带向上开口（最近3天）；成交量放大；放量突破上轨-中；中轨反弹并接近上轨；成交量放大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MU - Micron Technology, Inc.</w:t>
      </w:r>
    </w:p>
    <w:p>
      <w:pPr>
        <w:pStyle w:val="ListBullet"/>
      </w:pPr>
      <w:r>
        <w:t>信号等级：A 强信号</w:t>
      </w:r>
    </w:p>
    <w:p>
      <w:pPr>
        <w:pStyle w:val="ListBullet"/>
      </w:pPr>
      <w:r>
        <w:t>最新收盘价：$1015.80</w:t>
      </w:r>
    </w:p>
    <w:p>
      <w:pPr>
        <w:pStyle w:val="ListBullet"/>
      </w:pPr>
      <w:r>
        <w:t>BOLL：上轨 $1026.83；中轨 $959.60；下轨 $892.37</w:t>
      </w:r>
    </w:p>
    <w:p>
      <w:pPr>
        <w:pStyle w:val="ListBullet"/>
      </w:pPr>
      <w:r>
        <w:t>Bandwidth：14.01%；历史分位：4.76%；%B：0.918</w:t>
      </w:r>
    </w:p>
    <w:p>
      <w:pPr>
        <w:pStyle w:val="ListBullet"/>
      </w:pPr>
      <w:r>
        <w:t>成交量：当日 35656400；20日均量 24828615；量比 1.44</w:t>
      </w:r>
    </w:p>
    <w:p>
      <w:pPr>
        <w:pStyle w:val="ListBullet"/>
      </w:pPr>
      <w:r>
        <w:t>触发信号：布林带向上开口（最近1天）；成交量放大；中轨反弹并接近上轨；成交量放大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SPCX - Space Exploration Technologies</w:t>
      </w:r>
    </w:p>
    <w:p>
      <w:pPr>
        <w:pStyle w:val="ListBullet"/>
      </w:pPr>
      <w:r>
        <w:t>信号等级：B 中等信号</w:t>
      </w:r>
    </w:p>
    <w:p>
      <w:pPr>
        <w:pStyle w:val="ListBullet"/>
      </w:pPr>
      <w:r>
        <w:t>最新收盘价：$152.71</w:t>
      </w:r>
    </w:p>
    <w:p>
      <w:pPr>
        <w:pStyle w:val="ListBullet"/>
      </w:pPr>
      <w:r>
        <w:t>BOLL：上轨 $156.81；中轨 $145.33；下轨 $133.86</w:t>
      </w:r>
    </w:p>
    <w:p>
      <w:pPr>
        <w:pStyle w:val="ListBullet"/>
      </w:pPr>
      <w:r>
        <w:t>Bandwidth：15.79%；历史分位：N/A；%B：0.821</w:t>
      </w:r>
    </w:p>
    <w:p>
      <w:pPr>
        <w:pStyle w:val="ListBullet"/>
      </w:pPr>
      <w:r>
        <w:t>成交量：当日 335389800；20日均量 88710275；量比 3.78</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INSP - Inspire Medical Systems, Inc.</w:t>
      </w:r>
    </w:p>
    <w:p>
      <w:pPr>
        <w:pStyle w:val="ListBullet"/>
      </w:pPr>
      <w:r>
        <w:t>信号等级：B 中等信号</w:t>
      </w:r>
    </w:p>
    <w:p>
      <w:pPr>
        <w:pStyle w:val="ListBullet"/>
      </w:pPr>
      <w:r>
        <w:t>最新收盘价：$76.78</w:t>
      </w:r>
    </w:p>
    <w:p>
      <w:pPr>
        <w:pStyle w:val="ListBullet"/>
      </w:pPr>
      <w:r>
        <w:t>BOLL：上轨 $77.12；中轨 $66.13；下轨 $55.15</w:t>
      </w:r>
    </w:p>
    <w:p>
      <w:pPr>
        <w:pStyle w:val="ListBullet"/>
      </w:pPr>
      <w:r>
        <w:t>Bandwidth：33.21%；历史分位：79.17%；%B：0.985</w:t>
      </w:r>
    </w:p>
    <w:p>
      <w:pPr>
        <w:pStyle w:val="ListBullet"/>
      </w:pPr>
      <w:r>
        <w:t>成交量：当日 2126800；20日均量 731420；量比 2.91</w:t>
      </w:r>
    </w:p>
    <w:p>
      <w:pPr>
        <w:pStyle w:val="ListBullet"/>
      </w:pPr>
      <w:r>
        <w:t>触发信号：布林带向上开口（最近5天）；成交量放大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MANE - Veradermics, Incorporated</w:t>
      </w:r>
    </w:p>
    <w:p>
      <w:pPr>
        <w:pStyle w:val="ListBullet"/>
      </w:pPr>
      <w:r>
        <w:t>信号等级：B 中等信号</w:t>
      </w:r>
    </w:p>
    <w:p>
      <w:pPr>
        <w:pStyle w:val="ListBullet"/>
      </w:pPr>
      <w:r>
        <w:t>最新收盘价：$106.75</w:t>
      </w:r>
    </w:p>
    <w:p>
      <w:pPr>
        <w:pStyle w:val="ListBullet"/>
      </w:pPr>
      <w:r>
        <w:t>BOLL：上轨 $107.24；中轨 $101.04；下轨 $94.85</w:t>
      </w:r>
    </w:p>
    <w:p>
      <w:pPr>
        <w:pStyle w:val="ListBullet"/>
      </w:pPr>
      <w:r>
        <w:t>Bandwidth：12.26%；历史分位：7.25%；%B：0.961</w:t>
      </w:r>
    </w:p>
    <w:p>
      <w:pPr>
        <w:pStyle w:val="ListBullet"/>
      </w:pPr>
      <w:r>
        <w:t>成交量：当日 1870200；20日均量 655730；量比 2.85</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LITE - Lumentum Holdings</w:t>
      </w:r>
    </w:p>
    <w:p>
      <w:pPr>
        <w:pStyle w:val="ListBullet"/>
      </w:pPr>
      <w:r>
        <w:t>信号等级：B 中等信号</w:t>
      </w:r>
    </w:p>
    <w:p>
      <w:pPr>
        <w:pStyle w:val="ListBullet"/>
      </w:pPr>
      <w:r>
        <w:t>最新收盘价：$930.91</w:t>
      </w:r>
    </w:p>
    <w:p>
      <w:pPr>
        <w:pStyle w:val="ListBullet"/>
      </w:pPr>
      <w:r>
        <w:t>BOLL：上轨 $991.26；中轨 $900.18；下轨 $809.11</w:t>
      </w:r>
    </w:p>
    <w:p>
      <w:pPr>
        <w:pStyle w:val="ListBullet"/>
      </w:pPr>
      <w:r>
        <w:t>Bandwidth：20.23%；历史分位：6.55%；%B：0.669</w:t>
      </w:r>
    </w:p>
    <w:p>
      <w:pPr>
        <w:pStyle w:val="ListBullet"/>
      </w:pPr>
      <w:r>
        <w:t>成交量：当日 9259400；20日均量 4366655；量比 2.12</w:t>
      </w:r>
    </w:p>
    <w:p>
      <w:pPr>
        <w:pStyle w:val="ListBullet"/>
      </w:pPr>
      <w:r>
        <w:t>触发信号：中等收口：Bandwidth低于近8个月20%分位且持续14天；中轨附近窄幅震荡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INOD - Innodata</w:t>
      </w:r>
    </w:p>
    <w:p>
      <w:pPr>
        <w:pStyle w:val="ListBullet"/>
      </w:pPr>
      <w:r>
        <w:t>信号等级：B 中等信号</w:t>
      </w:r>
    </w:p>
    <w:p>
      <w:pPr>
        <w:pStyle w:val="ListBullet"/>
      </w:pPr>
      <w:r>
        <w:t>最新收盘价：$57.14</w:t>
      </w:r>
    </w:p>
    <w:p>
      <w:pPr>
        <w:pStyle w:val="ListBullet"/>
      </w:pPr>
      <w:r>
        <w:t>BOLL：上轨 $60.82；中轨 $56.12；下轨 $51.42</w:t>
      </w:r>
    </w:p>
    <w:p>
      <w:pPr>
        <w:pStyle w:val="ListBullet"/>
      </w:pPr>
      <w:r>
        <w:t>Bandwidth：16.74%；历史分位：10.71%；%B：0.608</w:t>
      </w:r>
    </w:p>
    <w:p>
      <w:pPr>
        <w:pStyle w:val="ListBullet"/>
      </w:pPr>
      <w:r>
        <w:t>成交量：当日 1840700；20日均量 969190；量比 1.90</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CRCL - Circle Internet Group</w:t>
      </w:r>
    </w:p>
    <w:p>
      <w:pPr>
        <w:pStyle w:val="ListBullet"/>
      </w:pPr>
      <w:r>
        <w:t>信号等级：B 中等信号</w:t>
      </w:r>
    </w:p>
    <w:p>
      <w:pPr>
        <w:pStyle w:val="ListBullet"/>
      </w:pPr>
      <w:r>
        <w:t>最新收盘价：$91.78</w:t>
      </w:r>
    </w:p>
    <w:p>
      <w:pPr>
        <w:pStyle w:val="ListBullet"/>
      </w:pPr>
      <w:r>
        <w:t>BOLL：上轨 $102.27；中轨 $91.45；下轨 $80.64</w:t>
      </w:r>
    </w:p>
    <w:p>
      <w:pPr>
        <w:pStyle w:val="ListBullet"/>
      </w:pPr>
      <w:r>
        <w:t>Bandwidth：23.66%；历史分位：10.71%；%B：0.515</w:t>
      </w:r>
    </w:p>
    <w:p>
      <w:pPr>
        <w:pStyle w:val="ListBullet"/>
      </w:pPr>
      <w:r>
        <w:t>成交量：当日 30470700；20日均量 16924065；量比 1.80</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INTC - Intel</w:t>
      </w:r>
    </w:p>
    <w:p>
      <w:pPr>
        <w:pStyle w:val="ListBullet"/>
      </w:pPr>
      <w:r>
        <w:t>信号等级：B 中等信号</w:t>
      </w:r>
    </w:p>
    <w:p>
      <w:pPr>
        <w:pStyle w:val="ListBullet"/>
      </w:pPr>
      <w:r>
        <w:t>最新收盘价：$108.60</w:t>
      </w:r>
    </w:p>
    <w:p>
      <w:pPr>
        <w:pStyle w:val="ListBullet"/>
      </w:pPr>
      <w:r>
        <w:t>BOLL：上轨 $110.30；中轨 $95.87；下轨 $81.43</w:t>
      </w:r>
    </w:p>
    <w:p>
      <w:pPr>
        <w:pStyle w:val="ListBullet"/>
      </w:pPr>
      <w:r>
        <w:t>Bandwidth：30.12%；历史分位：52.98%；%B：0.941</w:t>
      </w:r>
    </w:p>
    <w:p>
      <w:pPr>
        <w:pStyle w:val="ListBullet"/>
      </w:pPr>
      <w:r>
        <w:t>成交量：当日 174679000；20日均量 97901110；量比 1.78</w:t>
      </w:r>
    </w:p>
    <w:p>
      <w:pPr>
        <w:pStyle w:val="ListBullet"/>
      </w:pPr>
      <w:r>
        <w:t>触发信号：布林带向上开口（最近3天）；成交量放大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BB - BlackBerry</w:t>
      </w:r>
    </w:p>
    <w:p>
      <w:pPr>
        <w:pStyle w:val="ListBullet"/>
      </w:pPr>
      <w:r>
        <w:t>信号等级：B 中等信号</w:t>
      </w:r>
    </w:p>
    <w:p>
      <w:pPr>
        <w:pStyle w:val="ListBullet"/>
      </w:pPr>
      <w:r>
        <w:t>最新收盘价：$7.99</w:t>
      </w:r>
    </w:p>
    <w:p>
      <w:pPr>
        <w:pStyle w:val="ListBullet"/>
      </w:pPr>
      <w:r>
        <w:t>BOLL：上轨 $8.35；中轨 $7.85；下轨 $7.35</w:t>
      </w:r>
    </w:p>
    <w:p>
      <w:pPr>
        <w:pStyle w:val="ListBullet"/>
      </w:pPr>
      <w:r>
        <w:t>Bandwidth：12.66%；历史分位：20.83%；%B：0.640</w:t>
      </w:r>
    </w:p>
    <w:p>
      <w:pPr>
        <w:pStyle w:val="ListBullet"/>
      </w:pPr>
      <w:r>
        <w:t>成交量：当日 13694600；20日均量 9544710；量比 1.43</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SHAZ - Shaz</w:t>
      </w:r>
    </w:p>
    <w:p>
      <w:pPr>
        <w:pStyle w:val="ListBullet"/>
      </w:pPr>
      <w:r>
        <w:t>信号等级：B 中等信号</w:t>
      </w:r>
    </w:p>
    <w:p>
      <w:pPr>
        <w:pStyle w:val="ListBullet"/>
      </w:pPr>
      <w:r>
        <w:t>最新收盘价：$57.56</w:t>
      </w:r>
    </w:p>
    <w:p>
      <w:pPr>
        <w:pStyle w:val="ListBullet"/>
      </w:pPr>
      <w:r>
        <w:t>BOLL：上轨 $62.02；中轨 $56.05；下轨 $50.09</w:t>
      </w:r>
    </w:p>
    <w:p>
      <w:pPr>
        <w:pStyle w:val="ListBullet"/>
      </w:pPr>
      <w:r>
        <w:t>Bandwidth：21.29%；历史分位：0.78%；%B：0.626</w:t>
      </w:r>
    </w:p>
    <w:p>
      <w:pPr>
        <w:pStyle w:val="ListBullet"/>
      </w:pPr>
      <w:r>
        <w:t>成交量：当日 2163600；20日均量 1509535；量比 1.43</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CORZ - Core Scientific, Inc.</w:t>
      </w:r>
    </w:p>
    <w:p>
      <w:pPr>
        <w:pStyle w:val="ListBullet"/>
      </w:pPr>
      <w:r>
        <w:t>信号等级：B 中等信号</w:t>
      </w:r>
    </w:p>
    <w:p>
      <w:pPr>
        <w:pStyle w:val="ListBullet"/>
      </w:pPr>
      <w:r>
        <w:t>最新收盘价：$17.99</w:t>
      </w:r>
    </w:p>
    <w:p>
      <w:pPr>
        <w:pStyle w:val="ListBullet"/>
      </w:pPr>
      <w:r>
        <w:t>BOLL：上轨 $18.78；中轨 $17.34；下轨 $15.89</w:t>
      </w:r>
    </w:p>
    <w:p>
      <w:pPr>
        <w:pStyle w:val="ListBullet"/>
      </w:pPr>
      <w:r>
        <w:t>Bandwidth：16.66%；历史分位：5.36%；%B：0.726</w:t>
      </w:r>
    </w:p>
    <w:p>
      <w:pPr>
        <w:pStyle w:val="ListBullet"/>
      </w:pPr>
      <w:r>
        <w:t>成交量：当日 13973300；20日均量 11451120；量比 1.22</w:t>
      </w:r>
    </w:p>
    <w:p>
      <w:pPr>
        <w:pStyle w:val="ListBullet"/>
      </w:pPr>
      <w:r>
        <w:t>触发信号：下轨反弹：处于中轨与上轨之间；成交量温和改善；低位形态</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FLY - Firefly Aerospace</w:t>
      </w:r>
    </w:p>
    <w:p>
      <w:pPr>
        <w:pStyle w:val="ListBullet"/>
      </w:pPr>
      <w:r>
        <w:t>信号等级：C 观察信号</w:t>
      </w:r>
    </w:p>
    <w:p>
      <w:pPr>
        <w:pStyle w:val="ListBullet"/>
      </w:pPr>
      <w:r>
        <w:t>最新收盘价：$20.97</w:t>
      </w:r>
    </w:p>
    <w:p>
      <w:pPr>
        <w:pStyle w:val="ListBullet"/>
      </w:pPr>
      <w:r>
        <w:t>BOLL：上轨 $23.59；中轨 $21.63；下轨 $19.67</w:t>
      </w:r>
    </w:p>
    <w:p>
      <w:pPr>
        <w:pStyle w:val="ListBullet"/>
      </w:pPr>
      <w:r>
        <w:t>Bandwidth：18.12%；历史分位：1.19%；%B：0.331</w:t>
      </w:r>
    </w:p>
    <w:p>
      <w:pPr>
        <w:pStyle w:val="ListBullet"/>
      </w:pPr>
      <w:r>
        <w:t>成交量：当日 9214700；20日均量 2660135；量比 3.46</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RDW - Redwire Corporation</w:t>
      </w:r>
    </w:p>
    <w:p>
      <w:pPr>
        <w:pStyle w:val="ListBullet"/>
      </w:pPr>
      <w:r>
        <w:t>信号等级：C 观察信号</w:t>
      </w:r>
    </w:p>
    <w:p>
      <w:pPr>
        <w:pStyle w:val="ListBullet"/>
      </w:pPr>
      <w:r>
        <w:t>最新收盘价：$10.74</w:t>
      </w:r>
    </w:p>
    <w:p>
      <w:pPr>
        <w:pStyle w:val="ListBullet"/>
      </w:pPr>
      <w:r>
        <w:t>BOLL：上轨 $11.82；中轨 $10.91；下轨 $10.00</w:t>
      </w:r>
    </w:p>
    <w:p>
      <w:pPr>
        <w:pStyle w:val="ListBullet"/>
      </w:pPr>
      <w:r>
        <w:t>Bandwidth：16.73%；历史分位：2.38%；%B：0.406</w:t>
      </w:r>
    </w:p>
    <w:p>
      <w:pPr>
        <w:pStyle w:val="ListBullet"/>
      </w:pPr>
      <w:r>
        <w:t>成交量：当日 31661400；20日均量 11840760；量比 2.67</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最新收盘价：$493.78</w:t>
      </w:r>
    </w:p>
    <w:p>
      <w:pPr>
        <w:pStyle w:val="ListBullet"/>
      </w:pPr>
      <w:r>
        <w:t>BOLL：上轨 $512.57；中轨 $497.51；下轨 $482.45</w:t>
      </w:r>
    </w:p>
    <w:p>
      <w:pPr>
        <w:pStyle w:val="ListBullet"/>
      </w:pPr>
      <w:r>
        <w:t>Bandwidth：6.05%；历史分位：2.38%；%B：0.376</w:t>
      </w:r>
    </w:p>
    <w:p>
      <w:pPr>
        <w:pStyle w:val="ListBullet"/>
      </w:pPr>
      <w:r>
        <w:t>成交量：当日 39544100；20日均量 21049945；量比 1.88</w:t>
      </w:r>
    </w:p>
    <w:p>
      <w:pPr>
        <w:pStyle w:val="ListBullet"/>
      </w:pPr>
      <w:r>
        <w:t>触发信号：弱收口：Bandwidth连续16天维持低于近8个月30%分位；中轨附近窄幅震荡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RKLB - Rocket Lab USA</w:t>
      </w:r>
    </w:p>
    <w:p>
      <w:pPr>
        <w:pStyle w:val="ListBullet"/>
      </w:pPr>
      <w:r>
        <w:t>信号等级：C 观察信号</w:t>
      </w:r>
    </w:p>
    <w:p>
      <w:pPr>
        <w:pStyle w:val="ListBullet"/>
      </w:pPr>
      <w:r>
        <w:t>最新收盘价：$64.57</w:t>
      </w:r>
    </w:p>
    <w:p>
      <w:pPr>
        <w:pStyle w:val="ListBullet"/>
      </w:pPr>
      <w:r>
        <w:t>BOLL：上轨 $70.05；中轨 $64.98；下轨 $59.91</w:t>
      </w:r>
    </w:p>
    <w:p>
      <w:pPr>
        <w:pStyle w:val="ListBullet"/>
      </w:pPr>
      <w:r>
        <w:t>Bandwidth：15.61%；历史分位：10.71%；%B：0.460</w:t>
      </w:r>
    </w:p>
    <w:p>
      <w:pPr>
        <w:pStyle w:val="ListBullet"/>
      </w:pPr>
      <w:r>
        <w:t>成交量：当日 32168300；20日均量 17775925；量比 1.81</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ORCL - Oracle</w:t>
      </w:r>
    </w:p>
    <w:p>
      <w:pPr>
        <w:pStyle w:val="ListBullet"/>
      </w:pPr>
      <w:r>
        <w:t>信号等级：C 观察信号</w:t>
      </w:r>
    </w:p>
    <w:p>
      <w:pPr>
        <w:pStyle w:val="ListBullet"/>
      </w:pPr>
      <w:r>
        <w:t>最新收盘价：$147.61</w:t>
      </w:r>
    </w:p>
    <w:p>
      <w:pPr>
        <w:pStyle w:val="ListBullet"/>
      </w:pPr>
      <w:r>
        <w:t>BOLL：上轨 $161.72；中轨 $149.41；下轨 $137.11</w:t>
      </w:r>
    </w:p>
    <w:p>
      <w:pPr>
        <w:pStyle w:val="ListBullet"/>
      </w:pPr>
      <w:r>
        <w:t>Bandwidth：16.47%；历史分位：20.83%；%B：0.427</w:t>
      </w:r>
    </w:p>
    <w:p>
      <w:pPr>
        <w:pStyle w:val="ListBullet"/>
      </w:pPr>
      <w:r>
        <w:t>成交量：当日 39215400；20日均量 30305485；量比 1.29</w:t>
      </w:r>
    </w:p>
    <w:p>
      <w:pPr>
        <w:pStyle w:val="ListBullet"/>
      </w:pPr>
      <w:r>
        <w:t>触发信号：弱收口：Bandwidth连续16天维持低于近8个月30%分位；中轨附近窄幅震荡；低位形态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SIVEF - Sivers Semiconductors</w:t>
      </w:r>
    </w:p>
    <w:p>
      <w:pPr>
        <w:pStyle w:val="ListBullet"/>
      </w:pPr>
      <w:r>
        <w:t>信号等级：C 观察信号</w:t>
      </w:r>
    </w:p>
    <w:p>
      <w:pPr>
        <w:pStyle w:val="ListBullet"/>
      </w:pPr>
      <w:r>
        <w:t>最新收盘价：$3.19</w:t>
      </w:r>
    </w:p>
    <w:p>
      <w:pPr>
        <w:pStyle w:val="ListBullet"/>
      </w:pPr>
      <w:r>
        <w:t>BOLL：上轨 $3.89；中轨 $3.06；下轨 $2.23</w:t>
      </w:r>
    </w:p>
    <w:p>
      <w:pPr>
        <w:pStyle w:val="ListBullet"/>
      </w:pPr>
      <w:r>
        <w:t>Bandwidth：54.09%；历史分位：14.29%；%B：0.578</w:t>
      </w:r>
    </w:p>
    <w:p>
      <w:pPr>
        <w:pStyle w:val="ListBullet"/>
      </w:pPr>
      <w:r>
        <w:t>成交量：当日 627655；20日均量 2427711；量比 0.26</w:t>
      </w:r>
    </w:p>
    <w:p>
      <w:pPr>
        <w:pStyle w:val="ListBullet"/>
      </w:pPr>
      <w:r>
        <w:t>触发信号：弱收口：Bandwidth低于近8个月30%分位且最近8个交易日及以上连续下降；中轨附近窄幅震荡；低位形态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XE（X-energy）, NBIS（Nebius Group）, OPTX（Syntec Optics Holdings）, GLW（Corning）, MRVL（Marvell Technology）, FLNC（Fluence Energy）, CRWV（CoreWeave）, NVTS（Navitas Semiconductor）, POET（POET Technologies）, DELL（Dell Technologies）, ONDS（Ondas Holdings）, SMR（NuScale Power）, OKLO（Oklo）, IONQ（IonQ）, QBTS（D-Wave Quantum）, NVDA（NVIDIA）, AMZN（Amazon.com）, CIEN（Ciena）, LUNR（Intuitive Machines）, ASTS（AST SpaceMobile）, AAOI（Applied Optoelectronics）, QCOM（QUALCOMM Incorporated）, IREN（IREN LIMITED）, VELO（Velo3D, Inc.）, AVGO（Broadcom Inc.）, AMAT（Applied Materials, Inc.）, AMKR（Amkor Technology, Inc.）, LRCX（Lam Research Corporation）, NNE（Nano Nuclear Energy Inc.）, CCJ（Cameco Corporation）, BWAY（Brainsway Ltd.）, QSI（Quantum-Si Incorporated）, CRSP（CRISPR Therapeutics AG）</w:t>
      </w:r>
    </w:p>
    <w:p>
      <w:r>
        <w:br w:type="page"/>
      </w:r>
    </w:p>
    <w:p>
      <w:pPr>
        <w:pStyle w:val="Heading2"/>
      </w:pPr>
      <w:r>
        <w:t>六、触发股票 BOLL 图表</w:t>
      </w:r>
    </w:p>
    <w:p>
      <w:pPr>
        <w:pStyle w:val="Heading3"/>
      </w:pPr>
      <w:r>
        <w:t>VICR - Vicor Corporation</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VICR_BOLL.png"/>
                    <pic:cNvPicPr/>
                  </pic:nvPicPr>
                  <pic:blipFill>
                    <a:blip r:embed="rId9"/>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NOK_BOLL.png"/>
                    <pic:cNvPicPr/>
                  </pic:nvPicPr>
                  <pic:blipFill>
                    <a:blip r:embed="rId10"/>
                    <a:stretch>
                      <a:fillRect/>
                    </a:stretch>
                  </pic:blipFill>
                  <pic:spPr>
                    <a:xfrm>
                      <a:off x="0" y="0"/>
                      <a:ext cx="6035040" cy="4054793"/>
                    </a:xfrm>
                    <a:prstGeom prst="rect"/>
                  </pic:spPr>
                </pic:pic>
              </a:graphicData>
            </a:graphic>
          </wp:inline>
        </w:drawing>
      </w:r>
    </w:p>
    <w:p>
      <w:pPr>
        <w:pStyle w:val="Heading3"/>
      </w:pPr>
      <w:r>
        <w:t>GOOG - Alphabet Inc.</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GOOG_BOLL.png"/>
                    <pic:cNvPicPr/>
                  </pic:nvPicPr>
                  <pic:blipFill>
                    <a:blip r:embed="rId11"/>
                    <a:stretch>
                      <a:fillRect/>
                    </a:stretch>
                  </pic:blipFill>
                  <pic:spPr>
                    <a:xfrm>
                      <a:off x="0" y="0"/>
                      <a:ext cx="6035040" cy="4054793"/>
                    </a:xfrm>
                    <a:prstGeom prst="rect"/>
                  </pic:spPr>
                </pic:pic>
              </a:graphicData>
            </a:graphic>
          </wp:inline>
        </w:drawing>
      </w:r>
    </w:p>
    <w:p>
      <w:pPr>
        <w:pStyle w:val="Heading3"/>
      </w:pPr>
      <w:r>
        <w:t>COIN - Coinbase Global, Inc.</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COIN_BOLL.png"/>
                    <pic:cNvPicPr/>
                  </pic:nvPicPr>
                  <pic:blipFill>
                    <a:blip r:embed="rId12"/>
                    <a:stretch>
                      <a:fillRect/>
                    </a:stretch>
                  </pic:blipFill>
                  <pic:spPr>
                    <a:xfrm>
                      <a:off x="0" y="0"/>
                      <a:ext cx="6035040" cy="4054793"/>
                    </a:xfrm>
                    <a:prstGeom prst="rect"/>
                  </pic:spPr>
                </pic:pic>
              </a:graphicData>
            </a:graphic>
          </wp:inline>
        </w:drawing>
      </w:r>
    </w:p>
    <w:p>
      <w:pPr>
        <w:pStyle w:val="Heading3"/>
      </w:pPr>
      <w:r>
        <w:t>IBRX - ImmunityBio, Inc.</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IBRX_BOLL.png"/>
                    <pic:cNvPicPr/>
                  </pic:nvPicPr>
                  <pic:blipFill>
                    <a:blip r:embed="rId13"/>
                    <a:stretch>
                      <a:fillRect/>
                    </a:stretch>
                  </pic:blipFill>
                  <pic:spPr>
                    <a:xfrm>
                      <a:off x="0" y="0"/>
                      <a:ext cx="6035040" cy="4054793"/>
                    </a:xfrm>
                    <a:prstGeom prst="rect"/>
                  </pic:spPr>
                </pic:pic>
              </a:graphicData>
            </a:graphic>
          </wp:inline>
        </w:drawing>
      </w:r>
    </w:p>
    <w:p>
      <w:pPr>
        <w:pStyle w:val="Heading3"/>
      </w:pPr>
      <w:r>
        <w:t>ALAB - Astera Labs</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ALAB_BOLL.png"/>
                    <pic:cNvPicPr/>
                  </pic:nvPicPr>
                  <pic:blipFill>
                    <a:blip r:embed="rId14"/>
                    <a:stretch>
                      <a:fillRect/>
                    </a:stretch>
                  </pic:blipFill>
                  <pic:spPr>
                    <a:xfrm>
                      <a:off x="0" y="0"/>
                      <a:ext cx="6035040" cy="4054793"/>
                    </a:xfrm>
                    <a:prstGeom prst="rect"/>
                  </pic:spPr>
                </pic:pic>
              </a:graphicData>
            </a:graphic>
          </wp:inline>
        </w:drawing>
      </w:r>
    </w:p>
    <w:p>
      <w:pPr>
        <w:pStyle w:val="Heading3"/>
      </w:pPr>
      <w:r>
        <w:t>CBRS - Chain Bridge Bancorp</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CBRS_BOLL.png"/>
                    <pic:cNvPicPr/>
                  </pic:nvPicPr>
                  <pic:blipFill>
                    <a:blip r:embed="rId15"/>
                    <a:stretch>
                      <a:fillRect/>
                    </a:stretch>
                  </pic:blipFill>
                  <pic:spPr>
                    <a:xfrm>
                      <a:off x="0" y="0"/>
                      <a:ext cx="6035040" cy="4054793"/>
                    </a:xfrm>
                    <a:prstGeom prst="rect"/>
                  </pic:spPr>
                </pic:pic>
              </a:graphicData>
            </a:graphic>
          </wp:inline>
        </w:drawing>
      </w:r>
    </w:p>
    <w:p>
      <w:pPr>
        <w:pStyle w:val="Heading3"/>
      </w:pPr>
      <w:r>
        <w:t>ARM - Arm Holdings</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ARM_BOLL.png"/>
                    <pic:cNvPicPr/>
                  </pic:nvPicPr>
                  <pic:blipFill>
                    <a:blip r:embed="rId16"/>
                    <a:stretch>
                      <a:fillRect/>
                    </a:stretch>
                  </pic:blipFill>
                  <pic:spPr>
                    <a:xfrm>
                      <a:off x="0" y="0"/>
                      <a:ext cx="6035040" cy="4054793"/>
                    </a:xfrm>
                    <a:prstGeom prst="rect"/>
                  </pic:spPr>
                </pic:pic>
              </a:graphicData>
            </a:graphic>
          </wp:inline>
        </w:drawing>
      </w:r>
    </w:p>
    <w:p>
      <w:pPr>
        <w:pStyle w:val="Heading3"/>
      </w:pPr>
      <w:r>
        <w:t>AMD - Advanced Micro Devices</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AMD_BOLL.png"/>
                    <pic:cNvPicPr/>
                  </pic:nvPicPr>
                  <pic:blipFill>
                    <a:blip r:embed="rId17"/>
                    <a:stretch>
                      <a:fillRect/>
                    </a:stretch>
                  </pic:blipFill>
                  <pic:spPr>
                    <a:xfrm>
                      <a:off x="0" y="0"/>
                      <a:ext cx="6035040" cy="4054793"/>
                    </a:xfrm>
                    <a:prstGeom prst="rect"/>
                  </pic:spPr>
                </pic:pic>
              </a:graphicData>
            </a:graphic>
          </wp:inline>
        </w:drawing>
      </w:r>
    </w:p>
    <w:p>
      <w:pPr>
        <w:pStyle w:val="Heading3"/>
      </w:pPr>
      <w:r>
        <w:t>COHR - Coherent</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COHR_BOLL.png"/>
                    <pic:cNvPicPr/>
                  </pic:nvPicPr>
                  <pic:blipFill>
                    <a:blip r:embed="rId18"/>
                    <a:stretch>
                      <a:fillRect/>
                    </a:stretch>
                  </pic:blipFill>
                  <pic:spPr>
                    <a:xfrm>
                      <a:off x="0" y="0"/>
                      <a:ext cx="6035040" cy="4054793"/>
                    </a:xfrm>
                    <a:prstGeom prst="rect"/>
                  </pic:spPr>
                </pic:pic>
              </a:graphicData>
            </a:graphic>
          </wp:inline>
        </w:drawing>
      </w:r>
    </w:p>
    <w:p>
      <w:pPr>
        <w:pStyle w:val="Heading3"/>
      </w:pPr>
      <w:r>
        <w:t>SNDK - Sandisk Corporation</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SNDK_BOLL.png"/>
                    <pic:cNvPicPr/>
                  </pic:nvPicPr>
                  <pic:blipFill>
                    <a:blip r:embed="rId19"/>
                    <a:stretch>
                      <a:fillRect/>
                    </a:stretch>
                  </pic:blipFill>
                  <pic:spPr>
                    <a:xfrm>
                      <a:off x="0" y="0"/>
                      <a:ext cx="6035040" cy="4054793"/>
                    </a:xfrm>
                    <a:prstGeom prst="rect"/>
                  </pic:spPr>
                </pic:pic>
              </a:graphicData>
            </a:graphic>
          </wp:inline>
        </w:drawing>
      </w:r>
    </w:p>
    <w:p>
      <w:pPr>
        <w:pStyle w:val="Heading3"/>
      </w:pPr>
      <w:r>
        <w:t>MU - Micron Technology, Inc.</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MU_BOLL.png"/>
                    <pic:cNvPicPr/>
                  </pic:nvPicPr>
                  <pic:blipFill>
                    <a:blip r:embed="rId20"/>
                    <a:stretch>
                      <a:fillRect/>
                    </a:stretch>
                  </pic:blipFill>
                  <pic:spPr>
                    <a:xfrm>
                      <a:off x="0" y="0"/>
                      <a:ext cx="6035040" cy="4054793"/>
                    </a:xfrm>
                    <a:prstGeom prst="rect"/>
                  </pic:spPr>
                </pic:pic>
              </a:graphicData>
            </a:graphic>
          </wp:inline>
        </w:drawing>
      </w:r>
    </w:p>
    <w:p>
      <w:pPr>
        <w:pStyle w:val="Heading3"/>
      </w:pPr>
      <w:r>
        <w:t>SPCX - Space Exploration Technologies</w:t>
      </w:r>
    </w:p>
    <w:p>
      <w:r>
        <w:drawing>
          <wp:inline xmlns:a="http://schemas.openxmlformats.org/drawingml/2006/main" xmlns:pic="http://schemas.openxmlformats.org/drawingml/2006/picture">
            <wp:extent cx="6035040" cy="4054793"/>
            <wp:docPr id="13" name="Picture 13"/>
            <wp:cNvGraphicFramePr>
              <a:graphicFrameLocks noChangeAspect="1"/>
            </wp:cNvGraphicFramePr>
            <a:graphic>
              <a:graphicData uri="http://schemas.openxmlformats.org/drawingml/2006/picture">
                <pic:pic>
                  <pic:nvPicPr>
                    <pic:cNvPr id="0" name="SPCX_BOLL.png"/>
                    <pic:cNvPicPr/>
                  </pic:nvPicPr>
                  <pic:blipFill>
                    <a:blip r:embed="rId21"/>
                    <a:stretch>
                      <a:fillRect/>
                    </a:stretch>
                  </pic:blipFill>
                  <pic:spPr>
                    <a:xfrm>
                      <a:off x="0" y="0"/>
                      <a:ext cx="6035040" cy="4054793"/>
                    </a:xfrm>
                    <a:prstGeom prst="rect"/>
                  </pic:spPr>
                </pic:pic>
              </a:graphicData>
            </a:graphic>
          </wp:inline>
        </w:drawing>
      </w:r>
    </w:p>
    <w:p>
      <w:pPr>
        <w:pStyle w:val="Heading3"/>
      </w:pPr>
      <w:r>
        <w:t>INSP - Inspire Medical Systems, Inc.</w:t>
      </w:r>
    </w:p>
    <w:p>
      <w:r>
        <w:drawing>
          <wp:inline xmlns:a="http://schemas.openxmlformats.org/drawingml/2006/main" xmlns:pic="http://schemas.openxmlformats.org/drawingml/2006/picture">
            <wp:extent cx="6035040" cy="4054793"/>
            <wp:docPr id="14" name="Picture 14"/>
            <wp:cNvGraphicFramePr>
              <a:graphicFrameLocks noChangeAspect="1"/>
            </wp:cNvGraphicFramePr>
            <a:graphic>
              <a:graphicData uri="http://schemas.openxmlformats.org/drawingml/2006/picture">
                <pic:pic>
                  <pic:nvPicPr>
                    <pic:cNvPr id="0" name="INSP_BOLL.png"/>
                    <pic:cNvPicPr/>
                  </pic:nvPicPr>
                  <pic:blipFill>
                    <a:blip r:embed="rId22"/>
                    <a:stretch>
                      <a:fillRect/>
                    </a:stretch>
                  </pic:blipFill>
                  <pic:spPr>
                    <a:xfrm>
                      <a:off x="0" y="0"/>
                      <a:ext cx="6035040" cy="4054793"/>
                    </a:xfrm>
                    <a:prstGeom prst="rect"/>
                  </pic:spPr>
                </pic:pic>
              </a:graphicData>
            </a:graphic>
          </wp:inline>
        </w:drawing>
      </w:r>
    </w:p>
    <w:p>
      <w:pPr>
        <w:pStyle w:val="Heading3"/>
      </w:pPr>
      <w:r>
        <w:t>MANE - Veradermics, Incorporated</w:t>
      </w:r>
    </w:p>
    <w:p>
      <w:r>
        <w:drawing>
          <wp:inline xmlns:a="http://schemas.openxmlformats.org/drawingml/2006/main" xmlns:pic="http://schemas.openxmlformats.org/drawingml/2006/picture">
            <wp:extent cx="6035040" cy="4054793"/>
            <wp:docPr id="15" name="Picture 15"/>
            <wp:cNvGraphicFramePr>
              <a:graphicFrameLocks noChangeAspect="1"/>
            </wp:cNvGraphicFramePr>
            <a:graphic>
              <a:graphicData uri="http://schemas.openxmlformats.org/drawingml/2006/picture">
                <pic:pic>
                  <pic:nvPicPr>
                    <pic:cNvPr id="0" name="MANE_BOLL.png"/>
                    <pic:cNvPicPr/>
                  </pic:nvPicPr>
                  <pic:blipFill>
                    <a:blip r:embed="rId23"/>
                    <a:stretch>
                      <a:fillRect/>
                    </a:stretch>
                  </pic:blipFill>
                  <pic:spPr>
                    <a:xfrm>
                      <a:off x="0" y="0"/>
                      <a:ext cx="6035040" cy="4054793"/>
                    </a:xfrm>
                    <a:prstGeom prst="rect"/>
                  </pic:spPr>
                </pic:pic>
              </a:graphicData>
            </a:graphic>
          </wp:inline>
        </w:drawing>
      </w:r>
    </w:p>
    <w:p>
      <w:pPr>
        <w:pStyle w:val="Heading3"/>
      </w:pPr>
      <w:r>
        <w:t>LITE - Lumentum Holdings</w:t>
      </w:r>
    </w:p>
    <w:p>
      <w:r>
        <w:drawing>
          <wp:inline xmlns:a="http://schemas.openxmlformats.org/drawingml/2006/main" xmlns:pic="http://schemas.openxmlformats.org/drawingml/2006/picture">
            <wp:extent cx="6035040" cy="4054793"/>
            <wp:docPr id="16" name="Picture 16"/>
            <wp:cNvGraphicFramePr>
              <a:graphicFrameLocks noChangeAspect="1"/>
            </wp:cNvGraphicFramePr>
            <a:graphic>
              <a:graphicData uri="http://schemas.openxmlformats.org/drawingml/2006/picture">
                <pic:pic>
                  <pic:nvPicPr>
                    <pic:cNvPr id="0" name="LITE_BOLL.png"/>
                    <pic:cNvPicPr/>
                  </pic:nvPicPr>
                  <pic:blipFill>
                    <a:blip r:embed="rId24"/>
                    <a:stretch>
                      <a:fillRect/>
                    </a:stretch>
                  </pic:blipFill>
                  <pic:spPr>
                    <a:xfrm>
                      <a:off x="0" y="0"/>
                      <a:ext cx="6035040" cy="4054793"/>
                    </a:xfrm>
                    <a:prstGeom prst="rect"/>
                  </pic:spPr>
                </pic:pic>
              </a:graphicData>
            </a:graphic>
          </wp:inline>
        </w:drawing>
      </w:r>
    </w:p>
    <w:p>
      <w:pPr>
        <w:pStyle w:val="Heading3"/>
      </w:pPr>
      <w:r>
        <w:t>INOD - Innodata</w:t>
      </w:r>
    </w:p>
    <w:p>
      <w:r>
        <w:drawing>
          <wp:inline xmlns:a="http://schemas.openxmlformats.org/drawingml/2006/main" xmlns:pic="http://schemas.openxmlformats.org/drawingml/2006/picture">
            <wp:extent cx="6035040" cy="4054793"/>
            <wp:docPr id="17" name="Picture 17"/>
            <wp:cNvGraphicFramePr>
              <a:graphicFrameLocks noChangeAspect="1"/>
            </wp:cNvGraphicFramePr>
            <a:graphic>
              <a:graphicData uri="http://schemas.openxmlformats.org/drawingml/2006/picture">
                <pic:pic>
                  <pic:nvPicPr>
                    <pic:cNvPr id="0" name="INOD_BOLL.png"/>
                    <pic:cNvPicPr/>
                  </pic:nvPicPr>
                  <pic:blipFill>
                    <a:blip r:embed="rId25"/>
                    <a:stretch>
                      <a:fillRect/>
                    </a:stretch>
                  </pic:blipFill>
                  <pic:spPr>
                    <a:xfrm>
                      <a:off x="0" y="0"/>
                      <a:ext cx="6035040" cy="4054793"/>
                    </a:xfrm>
                    <a:prstGeom prst="rect"/>
                  </pic:spPr>
                </pic:pic>
              </a:graphicData>
            </a:graphic>
          </wp:inline>
        </w:drawing>
      </w:r>
    </w:p>
    <w:p>
      <w:pPr>
        <w:pStyle w:val="Heading3"/>
      </w:pPr>
      <w:r>
        <w:t>CRCL - Circle Internet Group</w:t>
      </w:r>
    </w:p>
    <w:p>
      <w:r>
        <w:drawing>
          <wp:inline xmlns:a="http://schemas.openxmlformats.org/drawingml/2006/main" xmlns:pic="http://schemas.openxmlformats.org/drawingml/2006/picture">
            <wp:extent cx="6035040" cy="4054793"/>
            <wp:docPr id="18" name="Picture 18"/>
            <wp:cNvGraphicFramePr>
              <a:graphicFrameLocks noChangeAspect="1"/>
            </wp:cNvGraphicFramePr>
            <a:graphic>
              <a:graphicData uri="http://schemas.openxmlformats.org/drawingml/2006/picture">
                <pic:pic>
                  <pic:nvPicPr>
                    <pic:cNvPr id="0" name="CRCL_BOLL.png"/>
                    <pic:cNvPicPr/>
                  </pic:nvPicPr>
                  <pic:blipFill>
                    <a:blip r:embed="rId26"/>
                    <a:stretch>
                      <a:fillRect/>
                    </a:stretch>
                  </pic:blipFill>
                  <pic:spPr>
                    <a:xfrm>
                      <a:off x="0" y="0"/>
                      <a:ext cx="6035040" cy="4054793"/>
                    </a:xfrm>
                    <a:prstGeom prst="rect"/>
                  </pic:spPr>
                </pic:pic>
              </a:graphicData>
            </a:graphic>
          </wp:inline>
        </w:drawing>
      </w:r>
    </w:p>
    <w:p>
      <w:pPr>
        <w:pStyle w:val="Heading3"/>
      </w:pPr>
      <w:r>
        <w:t>INTC - Intel</w:t>
      </w:r>
    </w:p>
    <w:p>
      <w:r>
        <w:drawing>
          <wp:inline xmlns:a="http://schemas.openxmlformats.org/drawingml/2006/main" xmlns:pic="http://schemas.openxmlformats.org/drawingml/2006/picture">
            <wp:extent cx="6035040" cy="4054793"/>
            <wp:docPr id="19" name="Picture 19"/>
            <wp:cNvGraphicFramePr>
              <a:graphicFrameLocks noChangeAspect="1"/>
            </wp:cNvGraphicFramePr>
            <a:graphic>
              <a:graphicData uri="http://schemas.openxmlformats.org/drawingml/2006/picture">
                <pic:pic>
                  <pic:nvPicPr>
                    <pic:cNvPr id="0" name="INTC_BOLL.png"/>
                    <pic:cNvPicPr/>
                  </pic:nvPicPr>
                  <pic:blipFill>
                    <a:blip r:embed="rId27"/>
                    <a:stretch>
                      <a:fillRect/>
                    </a:stretch>
                  </pic:blipFill>
                  <pic:spPr>
                    <a:xfrm>
                      <a:off x="0" y="0"/>
                      <a:ext cx="6035040" cy="4054793"/>
                    </a:xfrm>
                    <a:prstGeom prst="rect"/>
                  </pic:spPr>
                </pic:pic>
              </a:graphicData>
            </a:graphic>
          </wp:inline>
        </w:drawing>
      </w:r>
    </w:p>
    <w:p>
      <w:pPr>
        <w:pStyle w:val="Heading3"/>
      </w:pPr>
      <w:r>
        <w:t>BB - BlackBerry</w:t>
      </w:r>
    </w:p>
    <w:p>
      <w:r>
        <w:drawing>
          <wp:inline xmlns:a="http://schemas.openxmlformats.org/drawingml/2006/main" xmlns:pic="http://schemas.openxmlformats.org/drawingml/2006/picture">
            <wp:extent cx="6035040" cy="4054793"/>
            <wp:docPr id="20" name="Picture 20"/>
            <wp:cNvGraphicFramePr>
              <a:graphicFrameLocks noChangeAspect="1"/>
            </wp:cNvGraphicFramePr>
            <a:graphic>
              <a:graphicData uri="http://schemas.openxmlformats.org/drawingml/2006/picture">
                <pic:pic>
                  <pic:nvPicPr>
                    <pic:cNvPr id="0" name="BB_BOLL.png"/>
                    <pic:cNvPicPr/>
                  </pic:nvPicPr>
                  <pic:blipFill>
                    <a:blip r:embed="rId28"/>
                    <a:stretch>
                      <a:fillRect/>
                    </a:stretch>
                  </pic:blipFill>
                  <pic:spPr>
                    <a:xfrm>
                      <a:off x="0" y="0"/>
                      <a:ext cx="6035040" cy="4054793"/>
                    </a:xfrm>
                    <a:prstGeom prst="rect"/>
                  </pic:spPr>
                </pic:pic>
              </a:graphicData>
            </a:graphic>
          </wp:inline>
        </w:drawing>
      </w:r>
    </w:p>
    <w:p>
      <w:pPr>
        <w:pStyle w:val="Heading3"/>
      </w:pPr>
      <w:r>
        <w:t>SHAZ - Shaz</w:t>
      </w:r>
    </w:p>
    <w:p>
      <w:r>
        <w:drawing>
          <wp:inline xmlns:a="http://schemas.openxmlformats.org/drawingml/2006/main" xmlns:pic="http://schemas.openxmlformats.org/drawingml/2006/picture">
            <wp:extent cx="6035040" cy="4054793"/>
            <wp:docPr id="21" name="Picture 21"/>
            <wp:cNvGraphicFramePr>
              <a:graphicFrameLocks noChangeAspect="1"/>
            </wp:cNvGraphicFramePr>
            <a:graphic>
              <a:graphicData uri="http://schemas.openxmlformats.org/drawingml/2006/picture">
                <pic:pic>
                  <pic:nvPicPr>
                    <pic:cNvPr id="0" name="SHAZ_BOLL.png"/>
                    <pic:cNvPicPr/>
                  </pic:nvPicPr>
                  <pic:blipFill>
                    <a:blip r:embed="rId29"/>
                    <a:stretch>
                      <a:fillRect/>
                    </a:stretch>
                  </pic:blipFill>
                  <pic:spPr>
                    <a:xfrm>
                      <a:off x="0" y="0"/>
                      <a:ext cx="6035040" cy="4054793"/>
                    </a:xfrm>
                    <a:prstGeom prst="rect"/>
                  </pic:spPr>
                </pic:pic>
              </a:graphicData>
            </a:graphic>
          </wp:inline>
        </w:drawing>
      </w:r>
    </w:p>
    <w:p>
      <w:pPr>
        <w:pStyle w:val="Heading3"/>
      </w:pPr>
      <w:r>
        <w:t>CORZ - Core Scientific, Inc.</w:t>
      </w:r>
    </w:p>
    <w:p>
      <w:r>
        <w:drawing>
          <wp:inline xmlns:a="http://schemas.openxmlformats.org/drawingml/2006/main" xmlns:pic="http://schemas.openxmlformats.org/drawingml/2006/picture">
            <wp:extent cx="6035040" cy="4054793"/>
            <wp:docPr id="22" name="Picture 22"/>
            <wp:cNvGraphicFramePr>
              <a:graphicFrameLocks noChangeAspect="1"/>
            </wp:cNvGraphicFramePr>
            <a:graphic>
              <a:graphicData uri="http://schemas.openxmlformats.org/drawingml/2006/picture">
                <pic:pic>
                  <pic:nvPicPr>
                    <pic:cNvPr id="0" name="CORZ_BOLL.png"/>
                    <pic:cNvPicPr/>
                  </pic:nvPicPr>
                  <pic:blipFill>
                    <a:blip r:embed="rId30"/>
                    <a:stretch>
                      <a:fillRect/>
                    </a:stretch>
                  </pic:blipFill>
                  <pic:spPr>
                    <a:xfrm>
                      <a:off x="0" y="0"/>
                      <a:ext cx="6035040" cy="4054793"/>
                    </a:xfrm>
                    <a:prstGeom prst="rect"/>
                  </pic:spPr>
                </pic:pic>
              </a:graphicData>
            </a:graphic>
          </wp:inline>
        </w:drawing>
      </w:r>
    </w:p>
    <w:p>
      <w:pPr>
        <w:pStyle w:val="Heading3"/>
      </w:pPr>
      <w:r>
        <w:t>FLY - Firefly Aerospace</w:t>
      </w:r>
    </w:p>
    <w:p>
      <w:r>
        <w:drawing>
          <wp:inline xmlns:a="http://schemas.openxmlformats.org/drawingml/2006/main" xmlns:pic="http://schemas.openxmlformats.org/drawingml/2006/picture">
            <wp:extent cx="6035040" cy="4054793"/>
            <wp:docPr id="23" name="Picture 23"/>
            <wp:cNvGraphicFramePr>
              <a:graphicFrameLocks noChangeAspect="1"/>
            </wp:cNvGraphicFramePr>
            <a:graphic>
              <a:graphicData uri="http://schemas.openxmlformats.org/drawingml/2006/picture">
                <pic:pic>
                  <pic:nvPicPr>
                    <pic:cNvPr id="0" name="FLY_BOLL.png"/>
                    <pic:cNvPicPr/>
                  </pic:nvPicPr>
                  <pic:blipFill>
                    <a:blip r:embed="rId31"/>
                    <a:stretch>
                      <a:fillRect/>
                    </a:stretch>
                  </pic:blipFill>
                  <pic:spPr>
                    <a:xfrm>
                      <a:off x="0" y="0"/>
                      <a:ext cx="6035040" cy="4054793"/>
                    </a:xfrm>
                    <a:prstGeom prst="rect"/>
                  </pic:spPr>
                </pic:pic>
              </a:graphicData>
            </a:graphic>
          </wp:inline>
        </w:drawing>
      </w:r>
    </w:p>
    <w:p>
      <w:pPr>
        <w:pStyle w:val="Heading3"/>
      </w:pPr>
      <w:r>
        <w:t>RDW - Redwire Corporation</w:t>
      </w:r>
    </w:p>
    <w:p>
      <w:r>
        <w:drawing>
          <wp:inline xmlns:a="http://schemas.openxmlformats.org/drawingml/2006/main" xmlns:pic="http://schemas.openxmlformats.org/drawingml/2006/picture">
            <wp:extent cx="6035040" cy="4054793"/>
            <wp:docPr id="24" name="Picture 24"/>
            <wp:cNvGraphicFramePr>
              <a:graphicFrameLocks noChangeAspect="1"/>
            </wp:cNvGraphicFramePr>
            <a:graphic>
              <a:graphicData uri="http://schemas.openxmlformats.org/drawingml/2006/picture">
                <pic:pic>
                  <pic:nvPicPr>
                    <pic:cNvPr id="0" name="RDW_BOLL.png"/>
                    <pic:cNvPicPr/>
                  </pic:nvPicPr>
                  <pic:blipFill>
                    <a:blip r:embed="rId32"/>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25" name="Picture 25"/>
            <wp:cNvGraphicFramePr>
              <a:graphicFrameLocks noChangeAspect="1"/>
            </wp:cNvGraphicFramePr>
            <a:graphic>
              <a:graphicData uri="http://schemas.openxmlformats.org/drawingml/2006/picture">
                <pic:pic>
                  <pic:nvPicPr>
                    <pic:cNvPr id="0" name="MSFT_BOLL.png"/>
                    <pic:cNvPicPr/>
                  </pic:nvPicPr>
                  <pic:blipFill>
                    <a:blip r:embed="rId33"/>
                    <a:stretch>
                      <a:fillRect/>
                    </a:stretch>
                  </pic:blipFill>
                  <pic:spPr>
                    <a:xfrm>
                      <a:off x="0" y="0"/>
                      <a:ext cx="6035040" cy="4054793"/>
                    </a:xfrm>
                    <a:prstGeom prst="rect"/>
                  </pic:spPr>
                </pic:pic>
              </a:graphicData>
            </a:graphic>
          </wp:inline>
        </w:drawing>
      </w:r>
    </w:p>
    <w:p>
      <w:pPr>
        <w:pStyle w:val="Heading3"/>
      </w:pPr>
      <w:r>
        <w:t>RKLB - Rocket Lab USA</w:t>
      </w:r>
    </w:p>
    <w:p>
      <w:r>
        <w:drawing>
          <wp:inline xmlns:a="http://schemas.openxmlformats.org/drawingml/2006/main" xmlns:pic="http://schemas.openxmlformats.org/drawingml/2006/picture">
            <wp:extent cx="6035040" cy="4054793"/>
            <wp:docPr id="26" name="Picture 26"/>
            <wp:cNvGraphicFramePr>
              <a:graphicFrameLocks noChangeAspect="1"/>
            </wp:cNvGraphicFramePr>
            <a:graphic>
              <a:graphicData uri="http://schemas.openxmlformats.org/drawingml/2006/picture">
                <pic:pic>
                  <pic:nvPicPr>
                    <pic:cNvPr id="0" name="RKLB_BOLL.png"/>
                    <pic:cNvPicPr/>
                  </pic:nvPicPr>
                  <pic:blipFill>
                    <a:blip r:embed="rId34"/>
                    <a:stretch>
                      <a:fillRect/>
                    </a:stretch>
                  </pic:blipFill>
                  <pic:spPr>
                    <a:xfrm>
                      <a:off x="0" y="0"/>
                      <a:ext cx="6035040" cy="4054793"/>
                    </a:xfrm>
                    <a:prstGeom prst="rect"/>
                  </pic:spPr>
                </pic:pic>
              </a:graphicData>
            </a:graphic>
          </wp:inline>
        </w:drawing>
      </w:r>
    </w:p>
    <w:p>
      <w:pPr>
        <w:pStyle w:val="Heading3"/>
      </w:pPr>
      <w:r>
        <w:t>ORCL - Oracle</w:t>
      </w:r>
    </w:p>
    <w:p>
      <w:r>
        <w:drawing>
          <wp:inline xmlns:a="http://schemas.openxmlformats.org/drawingml/2006/main" xmlns:pic="http://schemas.openxmlformats.org/drawingml/2006/picture">
            <wp:extent cx="6035040" cy="4054793"/>
            <wp:docPr id="27" name="Picture 27"/>
            <wp:cNvGraphicFramePr>
              <a:graphicFrameLocks noChangeAspect="1"/>
            </wp:cNvGraphicFramePr>
            <a:graphic>
              <a:graphicData uri="http://schemas.openxmlformats.org/drawingml/2006/picture">
                <pic:pic>
                  <pic:nvPicPr>
                    <pic:cNvPr id="0" name="ORCL_BOLL.png"/>
                    <pic:cNvPicPr/>
                  </pic:nvPicPr>
                  <pic:blipFill>
                    <a:blip r:embed="rId35"/>
                    <a:stretch>
                      <a:fillRect/>
                    </a:stretch>
                  </pic:blipFill>
                  <pic:spPr>
                    <a:xfrm>
                      <a:off x="0" y="0"/>
                      <a:ext cx="6035040" cy="4054793"/>
                    </a:xfrm>
                    <a:prstGeom prst="rect"/>
                  </pic:spPr>
                </pic:pic>
              </a:graphicData>
            </a:graphic>
          </wp:inline>
        </w:drawing>
      </w:r>
    </w:p>
    <w:p>
      <w:pPr>
        <w:pStyle w:val="Heading3"/>
      </w:pPr>
      <w:r>
        <w:t>SIVEF - Sivers Semiconductors</w:t>
      </w:r>
    </w:p>
    <w:p>
      <w:r>
        <w:drawing>
          <wp:inline xmlns:a="http://schemas.openxmlformats.org/drawingml/2006/main" xmlns:pic="http://schemas.openxmlformats.org/drawingml/2006/picture">
            <wp:extent cx="6035040" cy="4054793"/>
            <wp:docPr id="28" name="Picture 28"/>
            <wp:cNvGraphicFramePr>
              <a:graphicFrameLocks noChangeAspect="1"/>
            </wp:cNvGraphicFramePr>
            <a:graphic>
              <a:graphicData uri="http://schemas.openxmlformats.org/drawingml/2006/picture">
                <pic:pic>
                  <pic:nvPicPr>
                    <pic:cNvPr id="0" name="SIVEF_BOLL.png"/>
                    <pic:cNvPicPr/>
                  </pic:nvPicPr>
                  <pic:blipFill>
                    <a:blip r:embed="rId36"/>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