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美股 BOLL 布林线监控报告 - 2026-09-23</w:t>
      </w:r>
    </w:p>
    <w:p>
      <w:pPr>
        <w:pStyle w:val="ListBullet"/>
      </w:pPr>
      <w:r>
        <w:t>生成时间（美东）：2026-09-23 21:28:45 EDT</w:t>
      </w:r>
    </w:p>
    <w:p>
      <w:pPr>
        <w:pStyle w:val="ListBullet"/>
      </w:pPr>
      <w:r>
        <w:t>最新可用交易日：2026-09-23</w:t>
      </w:r>
    </w:p>
    <w:p>
      <w:pPr>
        <w:pStyle w:val="ListBullet"/>
      </w:pPr>
      <w:r>
        <w:t>数据源优先级：Yahoo Chart API -&gt; yfinance（可选备用，无需额外配置）</w:t>
      </w:r>
    </w:p>
    <w:p>
      <w:pPr>
        <w:pStyle w:val="ListBullet"/>
      </w:pPr>
      <w:r>
        <w:t>策略说明：本报告按近8个月 Bandwidth 分位判断收口；低于10%且持续5天以上或创近100日新低为强收口，低于20%且持续5天以上为中等收口。弱收口必须满足 Bandwidth 低于近8个月30%分位，并且最近8个交易日及以上连续下降，或连续8个交易日及以上维持低于近8个月30%分位。观察信号要求弱收口且股价接近中轨。向上开口要求 Bandwidth 最近2-5日明显扩大、上轨向上、下轨向下、股价突破或接近上轨并伴随成交量放大；向下开口不列入触发。放量突破上轨按量能、涨幅和带宽扩张分级。</w:t>
      </w:r>
    </w:p>
    <w:p>
      <w:pPr>
        <w:pStyle w:val="ListBullet"/>
      </w:pPr>
      <w:r>
        <w:t>说明：本报告只监控 BOLL 布林线，不构成投资建议。</w:t>
      </w:r>
    </w:p>
    <w:p>
      <w:pPr>
        <w:pStyle w:val="Heading2"/>
      </w:pPr>
      <w:r>
        <w:t>一、今日触发名单</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股票代码</w:t>
            </w:r>
          </w:p>
        </w:tc>
        <w:tc>
          <w:tcPr>
            <w:tcW w:type="dxa" w:w="960"/>
          </w:tcPr>
          <w:p>
            <w:r>
              <w:t>公司名称</w:t>
            </w:r>
          </w:p>
        </w:tc>
        <w:tc>
          <w:tcPr>
            <w:tcW w:type="dxa" w:w="960"/>
          </w:tcPr>
          <w:p>
            <w:r>
              <w:t>等级</w:t>
            </w:r>
          </w:p>
        </w:tc>
        <w:tc>
          <w:tcPr>
            <w:tcW w:type="dxa" w:w="960"/>
          </w:tcPr>
          <w:p>
            <w:r>
              <w:t>触发信号</w:t>
            </w:r>
          </w:p>
        </w:tc>
        <w:tc>
          <w:tcPr>
            <w:tcW w:type="dxa" w:w="960"/>
          </w:tcPr>
          <w:p>
            <w:r>
              <w:t>位置</w:t>
            </w:r>
          </w:p>
        </w:tc>
        <w:tc>
          <w:tcPr>
            <w:tcW w:type="dxa" w:w="960"/>
          </w:tcPr>
          <w:p>
            <w:r>
              <w:t>Bandwidth</w:t>
            </w:r>
          </w:p>
        </w:tc>
        <w:tc>
          <w:tcPr>
            <w:tcW w:type="dxa" w:w="960"/>
          </w:tcPr>
          <w:p>
            <w:r>
              <w:t>%B</w:t>
            </w:r>
          </w:p>
        </w:tc>
        <w:tc>
          <w:tcPr>
            <w:tcW w:type="dxa" w:w="960"/>
          </w:tcPr>
          <w:p>
            <w:r>
              <w:t>量比</w:t>
            </w:r>
          </w:p>
        </w:tc>
        <w:tc>
          <w:tcPr>
            <w:tcW w:type="dxa" w:w="960"/>
          </w:tcPr>
          <w:p>
            <w:r>
              <w:t>简要结论</w:t>
            </w:r>
          </w:p>
        </w:tc>
      </w:tr>
      <w:tr>
        <w:tc>
          <w:tcPr>
            <w:tcW w:type="dxa" w:w="960"/>
          </w:tcPr>
          <w:p>
            <w:r>
              <w:t>INOD</w:t>
            </w:r>
          </w:p>
        </w:tc>
        <w:tc>
          <w:tcPr>
            <w:tcW w:type="dxa" w:w="960"/>
          </w:tcPr>
          <w:p>
            <w:r>
              <w:t>Innodata</w:t>
            </w:r>
          </w:p>
        </w:tc>
        <w:tc>
          <w:tcPr>
            <w:tcW w:type="dxa" w:w="960"/>
          </w:tcPr>
          <w:p>
            <w:r>
              <w:t>A 强信号</w:t>
            </w:r>
          </w:p>
        </w:tc>
        <w:tc>
          <w:tcPr>
            <w:tcW w:type="dxa" w:w="960"/>
          </w:tcPr>
          <w:p>
            <w:r>
              <w:t>布林带向上开口（最近1天）；成交量放大；放量突破上轨-强；连续2日站上上轨</w:t>
            </w:r>
          </w:p>
        </w:tc>
        <w:tc>
          <w:tcPr>
            <w:tcW w:type="dxa" w:w="960"/>
          </w:tcPr>
          <w:p>
            <w:r>
              <w:t>突破上轨</w:t>
            </w:r>
          </w:p>
        </w:tc>
        <w:tc>
          <w:tcPr>
            <w:tcW w:type="dxa" w:w="960"/>
          </w:tcPr>
          <w:p>
            <w:r>
              <w:t>25.25%</w:t>
            </w:r>
          </w:p>
        </w:tc>
        <w:tc>
          <w:tcPr>
            <w:tcW w:type="dxa" w:w="960"/>
          </w:tcPr>
          <w:p>
            <w:r>
              <w:t>1.435</w:t>
            </w:r>
          </w:p>
        </w:tc>
        <w:tc>
          <w:tcPr>
            <w:tcW w:type="dxa" w:w="960"/>
          </w:tcPr>
          <w:p>
            <w:r>
              <w:t>4.61</w:t>
            </w:r>
          </w:p>
        </w:tc>
        <w:tc>
          <w:tcPr>
            <w:tcW w:type="dxa" w:w="960"/>
          </w:tcPr>
          <w:p>
            <w:r>
              <w:t>股价放量突破布林线上轨，说明短线多头动能较强，可能进入强势上涨阶段，但也要注意短线过热和回</w:t>
            </w:r>
          </w:p>
        </w:tc>
      </w:tr>
      <w:tr>
        <w:tc>
          <w:tcPr>
            <w:tcW w:type="dxa" w:w="960"/>
          </w:tcPr>
          <w:p>
            <w:r>
              <w:t>BB</w:t>
            </w:r>
          </w:p>
        </w:tc>
        <w:tc>
          <w:tcPr>
            <w:tcW w:type="dxa" w:w="960"/>
          </w:tcPr>
          <w:p>
            <w:r>
              <w:t>BlackBerry</w:t>
            </w:r>
          </w:p>
        </w:tc>
        <w:tc>
          <w:tcPr>
            <w:tcW w:type="dxa" w:w="960"/>
          </w:tcPr>
          <w:p>
            <w:r>
              <w:t>A 强信号</w:t>
            </w:r>
          </w:p>
        </w:tc>
        <w:tc>
          <w:tcPr>
            <w:tcW w:type="dxa" w:w="960"/>
          </w:tcPr>
          <w:p>
            <w:r>
              <w:t>布林带向上开口（最近2天）；成交量放大；放量突破上轨-强；连续2日站上上轨</w:t>
            </w:r>
          </w:p>
        </w:tc>
        <w:tc>
          <w:tcPr>
            <w:tcW w:type="dxa" w:w="960"/>
          </w:tcPr>
          <w:p>
            <w:r>
              <w:t>突破上轨</w:t>
            </w:r>
          </w:p>
        </w:tc>
        <w:tc>
          <w:tcPr>
            <w:tcW w:type="dxa" w:w="960"/>
          </w:tcPr>
          <w:p>
            <w:r>
              <w:t>16.38%</w:t>
            </w:r>
          </w:p>
        </w:tc>
        <w:tc>
          <w:tcPr>
            <w:tcW w:type="dxa" w:w="960"/>
          </w:tcPr>
          <w:p>
            <w:r>
              <w:t>1.036</w:t>
            </w:r>
          </w:p>
        </w:tc>
        <w:tc>
          <w:tcPr>
            <w:tcW w:type="dxa" w:w="960"/>
          </w:tcPr>
          <w:p>
            <w:r>
              <w:t>2.74</w:t>
            </w:r>
          </w:p>
        </w:tc>
        <w:tc>
          <w:tcPr>
            <w:tcW w:type="dxa" w:w="960"/>
          </w:tcPr>
          <w:p>
            <w:r>
              <w:t>股价放量突破布林线上轨，说明短线多头动能较强，可能进入强势上涨阶段，但也要注意短线过热和回</w:t>
            </w:r>
          </w:p>
        </w:tc>
      </w:tr>
      <w:tr>
        <w:tc>
          <w:tcPr>
            <w:tcW w:type="dxa" w:w="960"/>
          </w:tcPr>
          <w:p>
            <w:r>
              <w:t>IBRX</w:t>
            </w:r>
          </w:p>
        </w:tc>
        <w:tc>
          <w:tcPr>
            <w:tcW w:type="dxa" w:w="960"/>
          </w:tcPr>
          <w:p>
            <w:r>
              <w:t>ImmunityBio, Inc.</w:t>
            </w:r>
          </w:p>
        </w:tc>
        <w:tc>
          <w:tcPr>
            <w:tcW w:type="dxa" w:w="960"/>
          </w:tcPr>
          <w:p>
            <w:r>
              <w:t>A 强信号</w:t>
            </w:r>
          </w:p>
        </w:tc>
        <w:tc>
          <w:tcPr>
            <w:tcW w:type="dxa" w:w="960"/>
          </w:tcPr>
          <w:p>
            <w:r>
              <w:t>布林带向上开口（最近4天）；成交量放大；放量突破上轨-强；中轨反弹并接近上轨</w:t>
            </w:r>
          </w:p>
        </w:tc>
        <w:tc>
          <w:tcPr>
            <w:tcW w:type="dxa" w:w="960"/>
          </w:tcPr>
          <w:p>
            <w:r>
              <w:t>突破上轨</w:t>
            </w:r>
          </w:p>
        </w:tc>
        <w:tc>
          <w:tcPr>
            <w:tcW w:type="dxa" w:w="960"/>
          </w:tcPr>
          <w:p>
            <w:r>
              <w:t>16.06%</w:t>
            </w:r>
          </w:p>
        </w:tc>
        <w:tc>
          <w:tcPr>
            <w:tcW w:type="dxa" w:w="960"/>
          </w:tcPr>
          <w:p>
            <w:r>
              <w:t>1.327</w:t>
            </w:r>
          </w:p>
        </w:tc>
        <w:tc>
          <w:tcPr>
            <w:tcW w:type="dxa" w:w="960"/>
          </w:tcPr>
          <w:p>
            <w:r>
              <w:t>2.03</w:t>
            </w:r>
          </w:p>
        </w:tc>
        <w:tc>
          <w:tcPr>
            <w:tcW w:type="dxa" w:w="960"/>
          </w:tcPr>
          <w:p>
            <w:r>
              <w:t>股价放量突破布林线上轨，说明短线多头动能较强，可能进入强势上涨阶段，但也要注意短线过热和回</w:t>
            </w:r>
          </w:p>
        </w:tc>
      </w:tr>
      <w:tr>
        <w:tc>
          <w:tcPr>
            <w:tcW w:type="dxa" w:w="960"/>
          </w:tcPr>
          <w:p>
            <w:r>
              <w:t>ARM</w:t>
            </w:r>
          </w:p>
        </w:tc>
        <w:tc>
          <w:tcPr>
            <w:tcW w:type="dxa" w:w="960"/>
          </w:tcPr>
          <w:p>
            <w:r>
              <w:t>Arm Holdings</w:t>
            </w:r>
          </w:p>
        </w:tc>
        <w:tc>
          <w:tcPr>
            <w:tcW w:type="dxa" w:w="960"/>
          </w:tcPr>
          <w:p>
            <w:r>
              <w:t>A 强信号</w:t>
            </w:r>
          </w:p>
        </w:tc>
        <w:tc>
          <w:tcPr>
            <w:tcW w:type="dxa" w:w="960"/>
          </w:tcPr>
          <w:p>
            <w:r>
              <w:t>布林带向上开口（最近4天）；成交量放大；放量突破上轨-中；连续2日站上上轨</w:t>
            </w:r>
          </w:p>
        </w:tc>
        <w:tc>
          <w:tcPr>
            <w:tcW w:type="dxa" w:w="960"/>
          </w:tcPr>
          <w:p>
            <w:r>
              <w:t>突破上轨</w:t>
            </w:r>
          </w:p>
        </w:tc>
        <w:tc>
          <w:tcPr>
            <w:tcW w:type="dxa" w:w="960"/>
          </w:tcPr>
          <w:p>
            <w:r>
              <w:t>40.20%</w:t>
            </w:r>
          </w:p>
        </w:tc>
        <w:tc>
          <w:tcPr>
            <w:tcW w:type="dxa" w:w="960"/>
          </w:tcPr>
          <w:p>
            <w:r>
              <w:t>1.225</w:t>
            </w:r>
          </w:p>
        </w:tc>
        <w:tc>
          <w:tcPr>
            <w:tcW w:type="dxa" w:w="960"/>
          </w:tcPr>
          <w:p>
            <w:r>
              <w:t>1.56</w:t>
            </w:r>
          </w:p>
        </w:tc>
        <w:tc>
          <w:tcPr>
            <w:tcW w:type="dxa" w:w="960"/>
          </w:tcPr>
          <w:p>
            <w:r>
              <w:t>股价放量突破布林线上轨，说明短线多头动能较强，可能进入强势上涨阶段，但也要注意短线过热和回</w:t>
            </w:r>
          </w:p>
        </w:tc>
      </w:tr>
      <w:tr>
        <w:tc>
          <w:tcPr>
            <w:tcW w:type="dxa" w:w="960"/>
          </w:tcPr>
          <w:p>
            <w:r>
              <w:t>ALAB</w:t>
            </w:r>
          </w:p>
        </w:tc>
        <w:tc>
          <w:tcPr>
            <w:tcW w:type="dxa" w:w="960"/>
          </w:tcPr>
          <w:p>
            <w:r>
              <w:t>Astera Labs</w:t>
            </w:r>
          </w:p>
        </w:tc>
        <w:tc>
          <w:tcPr>
            <w:tcW w:type="dxa" w:w="960"/>
          </w:tcPr>
          <w:p>
            <w:r>
              <w:t>A 强信号</w:t>
            </w:r>
          </w:p>
        </w:tc>
        <w:tc>
          <w:tcPr>
            <w:tcW w:type="dxa" w:w="960"/>
          </w:tcPr>
          <w:p>
            <w:r>
              <w:t>布林带向上开口（最近5天）；成交量放大；放量突破上轨-中；连续2日站上上轨</w:t>
            </w:r>
          </w:p>
        </w:tc>
        <w:tc>
          <w:tcPr>
            <w:tcW w:type="dxa" w:w="960"/>
          </w:tcPr>
          <w:p>
            <w:r>
              <w:t>突破上轨</w:t>
            </w:r>
          </w:p>
        </w:tc>
        <w:tc>
          <w:tcPr>
            <w:tcW w:type="dxa" w:w="960"/>
          </w:tcPr>
          <w:p>
            <w:r>
              <w:t>33.73%</w:t>
            </w:r>
          </w:p>
        </w:tc>
        <w:tc>
          <w:tcPr>
            <w:tcW w:type="dxa" w:w="960"/>
          </w:tcPr>
          <w:p>
            <w:r>
              <w:t>1.216</w:t>
            </w:r>
          </w:p>
        </w:tc>
        <w:tc>
          <w:tcPr>
            <w:tcW w:type="dxa" w:w="960"/>
          </w:tcPr>
          <w:p>
            <w:r>
              <w:t>1.41</w:t>
            </w:r>
          </w:p>
        </w:tc>
        <w:tc>
          <w:tcPr>
            <w:tcW w:type="dxa" w:w="960"/>
          </w:tcPr>
          <w:p>
            <w:r>
              <w:t>股价放量突破布林线上轨，说明短线多头动能较强，可能进入强势上涨阶段，但也要注意短线过热和回</w:t>
            </w:r>
          </w:p>
        </w:tc>
      </w:tr>
      <w:tr>
        <w:tc>
          <w:tcPr>
            <w:tcW w:type="dxa" w:w="960"/>
          </w:tcPr>
          <w:p>
            <w:r>
              <w:t>VICR</w:t>
            </w:r>
          </w:p>
        </w:tc>
        <w:tc>
          <w:tcPr>
            <w:tcW w:type="dxa" w:w="960"/>
          </w:tcPr>
          <w:p>
            <w:r>
              <w:t>Vicor Corporation</w:t>
            </w:r>
          </w:p>
        </w:tc>
        <w:tc>
          <w:tcPr>
            <w:tcW w:type="dxa" w:w="960"/>
          </w:tcPr>
          <w:p>
            <w:r>
              <w:t>A 强信号</w:t>
            </w:r>
          </w:p>
        </w:tc>
        <w:tc>
          <w:tcPr>
            <w:tcW w:type="dxa" w:w="960"/>
          </w:tcPr>
          <w:p>
            <w:r>
              <w:t>布林带向上开口（最近2天）；成交量放大；放量突破上轨-中；连续2日站上上轨</w:t>
            </w:r>
          </w:p>
        </w:tc>
        <w:tc>
          <w:tcPr>
            <w:tcW w:type="dxa" w:w="960"/>
          </w:tcPr>
          <w:p>
            <w:r>
              <w:t>突破上轨</w:t>
            </w:r>
          </w:p>
        </w:tc>
        <w:tc>
          <w:tcPr>
            <w:tcW w:type="dxa" w:w="960"/>
          </w:tcPr>
          <w:p>
            <w:r>
              <w:t>28.56%</w:t>
            </w:r>
          </w:p>
        </w:tc>
        <w:tc>
          <w:tcPr>
            <w:tcW w:type="dxa" w:w="960"/>
          </w:tcPr>
          <w:p>
            <w:r>
              <w:t>1.066</w:t>
            </w:r>
          </w:p>
        </w:tc>
        <w:tc>
          <w:tcPr>
            <w:tcW w:type="dxa" w:w="960"/>
          </w:tcPr>
          <w:p>
            <w:r>
              <w:t>1.34</w:t>
            </w:r>
          </w:p>
        </w:tc>
        <w:tc>
          <w:tcPr>
            <w:tcW w:type="dxa" w:w="960"/>
          </w:tcPr>
          <w:p>
            <w:r>
              <w:t>股价放量突破布林线上轨，说明短线多头动能较强，可能进入强势上涨阶段，但也要注意短线过热和回</w:t>
            </w:r>
          </w:p>
        </w:tc>
      </w:tr>
      <w:tr>
        <w:tc>
          <w:tcPr>
            <w:tcW w:type="dxa" w:w="960"/>
          </w:tcPr>
          <w:p>
            <w:r>
              <w:t>AMD</w:t>
            </w:r>
          </w:p>
        </w:tc>
        <w:tc>
          <w:tcPr>
            <w:tcW w:type="dxa" w:w="960"/>
          </w:tcPr>
          <w:p>
            <w:r>
              <w:t>Advanced Micro Devices</w:t>
            </w:r>
          </w:p>
        </w:tc>
        <w:tc>
          <w:tcPr>
            <w:tcW w:type="dxa" w:w="960"/>
          </w:tcPr>
          <w:p>
            <w:r>
              <w:t>A 强信号</w:t>
            </w:r>
          </w:p>
        </w:tc>
        <w:tc>
          <w:tcPr>
            <w:tcW w:type="dxa" w:w="960"/>
          </w:tcPr>
          <w:p>
            <w:r>
              <w:t>布林带向上开口（最近5天）；成交量放大；放量突破上轨-中；连续2日站上上轨</w:t>
            </w:r>
          </w:p>
        </w:tc>
        <w:tc>
          <w:tcPr>
            <w:tcW w:type="dxa" w:w="960"/>
          </w:tcPr>
          <w:p>
            <w:r>
              <w:t>突破上轨</w:t>
            </w:r>
          </w:p>
        </w:tc>
        <w:tc>
          <w:tcPr>
            <w:tcW w:type="dxa" w:w="960"/>
          </w:tcPr>
          <w:p>
            <w:r>
              <w:t>36.96%</w:t>
            </w:r>
          </w:p>
        </w:tc>
        <w:tc>
          <w:tcPr>
            <w:tcW w:type="dxa" w:w="960"/>
          </w:tcPr>
          <w:p>
            <w:r>
              <w:t>1.128</w:t>
            </w:r>
          </w:p>
        </w:tc>
        <w:tc>
          <w:tcPr>
            <w:tcW w:type="dxa" w:w="960"/>
          </w:tcPr>
          <w:p>
            <w:r>
              <w:t>1.34</w:t>
            </w:r>
          </w:p>
        </w:tc>
        <w:tc>
          <w:tcPr>
            <w:tcW w:type="dxa" w:w="960"/>
          </w:tcPr>
          <w:p>
            <w:r>
              <w:t>股价放量突破布林线上轨，说明短线多头动能较强，可能进入强势上涨阶段，但也要注意短线过热和回</w:t>
            </w:r>
          </w:p>
        </w:tc>
      </w:tr>
      <w:tr>
        <w:tc>
          <w:tcPr>
            <w:tcW w:type="dxa" w:w="960"/>
          </w:tcPr>
          <w:p>
            <w:r>
              <w:t>OPTX</w:t>
            </w:r>
          </w:p>
        </w:tc>
        <w:tc>
          <w:tcPr>
            <w:tcW w:type="dxa" w:w="960"/>
          </w:tcPr>
          <w:p>
            <w:r>
              <w:t>Syntec Optics Holdings</w:t>
            </w:r>
          </w:p>
        </w:tc>
        <w:tc>
          <w:tcPr>
            <w:tcW w:type="dxa" w:w="960"/>
          </w:tcPr>
          <w:p>
            <w:r>
              <w:t>B 中等信号</w:t>
            </w:r>
          </w:p>
        </w:tc>
        <w:tc>
          <w:tcPr>
            <w:tcW w:type="dxa" w:w="960"/>
          </w:tcPr>
          <w:p>
            <w:r>
              <w:t>下轨反弹：处于中轨与上轨之间；成交量温和改善</w:t>
            </w:r>
          </w:p>
        </w:tc>
        <w:tc>
          <w:tcPr>
            <w:tcW w:type="dxa" w:w="960"/>
          </w:tcPr>
          <w:p>
            <w:r>
              <w:t>中轨附近</w:t>
            </w:r>
          </w:p>
        </w:tc>
        <w:tc>
          <w:tcPr>
            <w:tcW w:type="dxa" w:w="960"/>
          </w:tcPr>
          <w:p>
            <w:r>
              <w:t>37.12%</w:t>
            </w:r>
          </w:p>
        </w:tc>
        <w:tc>
          <w:tcPr>
            <w:tcW w:type="dxa" w:w="960"/>
          </w:tcPr>
          <w:p>
            <w:r>
              <w:t>0.625</w:t>
            </w:r>
          </w:p>
        </w:tc>
        <w:tc>
          <w:tcPr>
            <w:tcW w:type="dxa" w:w="960"/>
          </w:tcPr>
          <w:p>
            <w:r>
              <w:t>4.48</w:t>
            </w:r>
          </w:p>
        </w:tc>
        <w:tc>
          <w:tcPr>
            <w:tcW w:type="dxa" w:w="960"/>
          </w:tcPr>
          <w:p>
            <w:r>
              <w:t>股价从下轨附近反弹并回到中轨上方，目前处于中轨与上轨之间，说明短线修复有所增强，但仍需要成</w:t>
            </w:r>
          </w:p>
        </w:tc>
      </w:tr>
      <w:tr>
        <w:tc>
          <w:tcPr>
            <w:tcW w:type="dxa" w:w="960"/>
          </w:tcPr>
          <w:p>
            <w:r>
              <w:t>INSP</w:t>
            </w:r>
          </w:p>
        </w:tc>
        <w:tc>
          <w:tcPr>
            <w:tcW w:type="dxa" w:w="960"/>
          </w:tcPr>
          <w:p>
            <w:r>
              <w:t>Inspire Medical Systems, Inc.</w:t>
            </w:r>
          </w:p>
        </w:tc>
        <w:tc>
          <w:tcPr>
            <w:tcW w:type="dxa" w:w="960"/>
          </w:tcPr>
          <w:p>
            <w:r>
              <w:t>B 中等信号</w:t>
            </w:r>
          </w:p>
        </w:tc>
        <w:tc>
          <w:tcPr>
            <w:tcW w:type="dxa" w:w="960"/>
          </w:tcPr>
          <w:p>
            <w:r>
              <w:t>布林带向上开口（最近5天）；成交量放大；低位形态</w:t>
            </w:r>
          </w:p>
        </w:tc>
        <w:tc>
          <w:tcPr>
            <w:tcW w:type="dxa" w:w="960"/>
          </w:tcPr>
          <w:p>
            <w:r>
              <w:t>靠近上轨</w:t>
            </w:r>
          </w:p>
        </w:tc>
        <w:tc>
          <w:tcPr>
            <w:tcW w:type="dxa" w:w="960"/>
          </w:tcPr>
          <w:p>
            <w:r>
              <w:t>34.70%</w:t>
            </w:r>
          </w:p>
        </w:tc>
        <w:tc>
          <w:tcPr>
            <w:tcW w:type="dxa" w:w="960"/>
          </w:tcPr>
          <w:p>
            <w:r>
              <w:t>0.885</w:t>
            </w:r>
          </w:p>
        </w:tc>
        <w:tc>
          <w:tcPr>
            <w:tcW w:type="dxa" w:w="960"/>
          </w:tcPr>
          <w:p>
            <w:r>
              <w:t>1.41</w:t>
            </w:r>
          </w:p>
        </w:tc>
        <w:tc>
          <w:tcPr>
            <w:tcW w:type="dxa" w:w="960"/>
          </w:tcPr>
          <w:p>
            <w:r>
              <w:t>布林带向上开口，说明波动率开始放大，股价接近上轨，可能进入趋势启动观察阶段，需要继续结合突</w:t>
            </w:r>
          </w:p>
        </w:tc>
      </w:tr>
      <w:tr>
        <w:tc>
          <w:tcPr>
            <w:tcW w:type="dxa" w:w="960"/>
          </w:tcPr>
          <w:p>
            <w:r>
              <w:t>NOK</w:t>
            </w:r>
          </w:p>
        </w:tc>
        <w:tc>
          <w:tcPr>
            <w:tcW w:type="dxa" w:w="960"/>
          </w:tcPr>
          <w:p>
            <w:r>
              <w:t>Nokia Oyj</w:t>
            </w:r>
          </w:p>
        </w:tc>
        <w:tc>
          <w:tcPr>
            <w:tcW w:type="dxa" w:w="960"/>
          </w:tcPr>
          <w:p>
            <w:r>
              <w:t>B 中等信号</w:t>
            </w:r>
          </w:p>
        </w:tc>
        <w:tc>
          <w:tcPr>
            <w:tcW w:type="dxa" w:w="960"/>
          </w:tcPr>
          <w:p>
            <w:r>
              <w:t>下轨反弹：处于中轨与上轨之间；成交量温和改善</w:t>
            </w:r>
          </w:p>
        </w:tc>
        <w:tc>
          <w:tcPr>
            <w:tcW w:type="dxa" w:w="960"/>
          </w:tcPr>
          <w:p>
            <w:r>
              <w:t>中轨上方</w:t>
            </w:r>
          </w:p>
        </w:tc>
        <w:tc>
          <w:tcPr>
            <w:tcW w:type="dxa" w:w="960"/>
          </w:tcPr>
          <w:p>
            <w:r>
              <w:t>16.10%</w:t>
            </w:r>
          </w:p>
        </w:tc>
        <w:tc>
          <w:tcPr>
            <w:tcW w:type="dxa" w:w="960"/>
          </w:tcPr>
          <w:p>
            <w:r>
              <w:t>0.779</w:t>
            </w:r>
          </w:p>
        </w:tc>
        <w:tc>
          <w:tcPr>
            <w:tcW w:type="dxa" w:w="960"/>
          </w:tcPr>
          <w:p>
            <w:r>
              <w:t>1.28</w:t>
            </w:r>
          </w:p>
        </w:tc>
        <w:tc>
          <w:tcPr>
            <w:tcW w:type="dxa" w:w="960"/>
          </w:tcPr>
          <w:p>
            <w:r>
              <w:t>股价从下轨附近反弹并回到中轨上方，目前处于中轨与上轨之间，说明短线修复有所增强，但仍需要成</w:t>
            </w:r>
          </w:p>
        </w:tc>
      </w:tr>
      <w:tr>
        <w:tc>
          <w:tcPr>
            <w:tcW w:type="dxa" w:w="960"/>
          </w:tcPr>
          <w:p>
            <w:r>
              <w:t>AMZN</w:t>
            </w:r>
          </w:p>
        </w:tc>
        <w:tc>
          <w:tcPr>
            <w:tcW w:type="dxa" w:w="960"/>
          </w:tcPr>
          <w:p>
            <w:r>
              <w:t>Amazon.com</w:t>
            </w:r>
          </w:p>
        </w:tc>
        <w:tc>
          <w:tcPr>
            <w:tcW w:type="dxa" w:w="960"/>
          </w:tcPr>
          <w:p>
            <w:r>
              <w:t>B 中等信号</w:t>
            </w:r>
          </w:p>
        </w:tc>
        <w:tc>
          <w:tcPr>
            <w:tcW w:type="dxa" w:w="960"/>
          </w:tcPr>
          <w:p>
            <w:r>
              <w:t>中等收口：Bandwidth低于近8个月20%分位且持续11天；中轨附近窄幅震荡；接近突破中轨</w:t>
            </w:r>
          </w:p>
        </w:tc>
        <w:tc>
          <w:tcPr>
            <w:tcW w:type="dxa" w:w="960"/>
          </w:tcPr>
          <w:p>
            <w:r>
              <w:t>中轨附近</w:t>
            </w:r>
          </w:p>
        </w:tc>
        <w:tc>
          <w:tcPr>
            <w:tcW w:type="dxa" w:w="960"/>
          </w:tcPr>
          <w:p>
            <w:r>
              <w:t>7.12%</w:t>
            </w:r>
          </w:p>
        </w:tc>
        <w:tc>
          <w:tcPr>
            <w:tcW w:type="dxa" w:w="960"/>
          </w:tcPr>
          <w:p>
            <w:r>
              <w:t>0.457</w:t>
            </w:r>
          </w:p>
        </w:tc>
        <w:tc>
          <w:tcPr>
            <w:tcW w:type="dxa" w:w="960"/>
          </w:tcPr>
          <w:p>
            <w:r>
              <w:t>1.24</w:t>
            </w:r>
          </w:p>
        </w:tc>
        <w:tc>
          <w:tcPr>
            <w:tcW w:type="dxa" w:w="960"/>
          </w:tcPr>
          <w:p>
            <w:r>
              <w:t>布林带收口，说明波动率下降，股价可能处于蓄势阶段，但方向尚未确认。</w:t>
            </w:r>
          </w:p>
        </w:tc>
      </w:tr>
      <w:tr>
        <w:tc>
          <w:tcPr>
            <w:tcW w:type="dxa" w:w="960"/>
          </w:tcPr>
          <w:p>
            <w:r>
              <w:t>CRSP</w:t>
            </w:r>
          </w:p>
        </w:tc>
        <w:tc>
          <w:tcPr>
            <w:tcW w:type="dxa" w:w="960"/>
          </w:tcPr>
          <w:p>
            <w:r>
              <w:t>CRISPR Therapeutics AG</w:t>
            </w:r>
          </w:p>
        </w:tc>
        <w:tc>
          <w:tcPr>
            <w:tcW w:type="dxa" w:w="960"/>
          </w:tcPr>
          <w:p>
            <w:r>
              <w:t>B 中等信号</w:t>
            </w:r>
          </w:p>
        </w:tc>
        <w:tc>
          <w:tcPr>
            <w:tcW w:type="dxa" w:w="960"/>
          </w:tcPr>
          <w:p>
            <w:r>
              <w:t>下轨反弹：处于中轨与上轨之间；成交量温和改善</w:t>
            </w:r>
          </w:p>
        </w:tc>
        <w:tc>
          <w:tcPr>
            <w:tcW w:type="dxa" w:w="960"/>
          </w:tcPr>
          <w:p>
            <w:r>
              <w:t>中轨上方</w:t>
            </w:r>
          </w:p>
        </w:tc>
        <w:tc>
          <w:tcPr>
            <w:tcW w:type="dxa" w:w="960"/>
          </w:tcPr>
          <w:p>
            <w:r>
              <w:t>19.01%</w:t>
            </w:r>
          </w:p>
        </w:tc>
        <w:tc>
          <w:tcPr>
            <w:tcW w:type="dxa" w:w="960"/>
          </w:tcPr>
          <w:p>
            <w:r>
              <w:t>0.725</w:t>
            </w:r>
          </w:p>
        </w:tc>
        <w:tc>
          <w:tcPr>
            <w:tcW w:type="dxa" w:w="960"/>
          </w:tcPr>
          <w:p>
            <w:r>
              <w:t>1.18</w:t>
            </w:r>
          </w:p>
        </w:tc>
        <w:tc>
          <w:tcPr>
            <w:tcW w:type="dxa" w:w="960"/>
          </w:tcPr>
          <w:p>
            <w:r>
              <w:t>股价从下轨附近反弹并回到中轨上方，目前处于中轨与上轨之间，说明短线修复有所增强，但仍需要成</w:t>
            </w:r>
          </w:p>
        </w:tc>
      </w:tr>
      <w:tr>
        <w:tc>
          <w:tcPr>
            <w:tcW w:type="dxa" w:w="960"/>
          </w:tcPr>
          <w:p>
            <w:r>
              <w:t>AAOI</w:t>
            </w:r>
          </w:p>
        </w:tc>
        <w:tc>
          <w:tcPr>
            <w:tcW w:type="dxa" w:w="960"/>
          </w:tcPr>
          <w:p>
            <w:r>
              <w:t>Applied Optoelectronics</w:t>
            </w:r>
          </w:p>
        </w:tc>
        <w:tc>
          <w:tcPr>
            <w:tcW w:type="dxa" w:w="960"/>
          </w:tcPr>
          <w:p>
            <w:r>
              <w:t>B 中等信号</w:t>
            </w:r>
          </w:p>
        </w:tc>
        <w:tc>
          <w:tcPr>
            <w:tcW w:type="dxa" w:w="960"/>
          </w:tcPr>
          <w:p>
            <w:r>
              <w:t>强收口：Bandwidth创近100日新低；中轨附近窄幅震荡</w:t>
            </w:r>
          </w:p>
        </w:tc>
        <w:tc>
          <w:tcPr>
            <w:tcW w:type="dxa" w:w="960"/>
          </w:tcPr>
          <w:p>
            <w:r>
              <w:t>中轨附近</w:t>
            </w:r>
          </w:p>
        </w:tc>
        <w:tc>
          <w:tcPr>
            <w:tcW w:type="dxa" w:w="960"/>
          </w:tcPr>
          <w:p>
            <w:r>
              <w:t>21.13%</w:t>
            </w:r>
          </w:p>
        </w:tc>
        <w:tc>
          <w:tcPr>
            <w:tcW w:type="dxa" w:w="960"/>
          </w:tcPr>
          <w:p>
            <w:r>
              <w:t>0.587</w:t>
            </w:r>
          </w:p>
        </w:tc>
        <w:tc>
          <w:tcPr>
            <w:tcW w:type="dxa" w:w="960"/>
          </w:tcPr>
          <w:p>
            <w:r>
              <w:t>1.13</w:t>
            </w:r>
          </w:p>
        </w:tc>
        <w:tc>
          <w:tcPr>
            <w:tcW w:type="dxa" w:w="960"/>
          </w:tcPr>
          <w:p>
            <w:r>
              <w:t>布林带收口，说明波动率下降，股价可能处于蓄势阶段，但方向尚未确认。</w:t>
            </w:r>
          </w:p>
        </w:tc>
      </w:tr>
      <w:tr>
        <w:tc>
          <w:tcPr>
            <w:tcW w:type="dxa" w:w="960"/>
          </w:tcPr>
          <w:p>
            <w:r>
              <w:t>SNDK</w:t>
            </w:r>
          </w:p>
        </w:tc>
        <w:tc>
          <w:tcPr>
            <w:tcW w:type="dxa" w:w="960"/>
          </w:tcPr>
          <w:p>
            <w:r>
              <w:t>Sandisk Corporation</w:t>
            </w:r>
          </w:p>
        </w:tc>
        <w:tc>
          <w:tcPr>
            <w:tcW w:type="dxa" w:w="960"/>
          </w:tcPr>
          <w:p>
            <w:r>
              <w:t>C 观察信号</w:t>
            </w:r>
          </w:p>
        </w:tc>
        <w:tc>
          <w:tcPr>
            <w:tcW w:type="dxa" w:w="960"/>
          </w:tcPr>
          <w:p>
            <w:r>
              <w:t>突破上轨但量能不足-弱</w:t>
            </w:r>
          </w:p>
        </w:tc>
        <w:tc>
          <w:tcPr>
            <w:tcW w:type="dxa" w:w="960"/>
          </w:tcPr>
          <w:p>
            <w:r>
              <w:t>突破上轨</w:t>
            </w:r>
          </w:p>
        </w:tc>
        <w:tc>
          <w:tcPr>
            <w:tcW w:type="dxa" w:w="960"/>
          </w:tcPr>
          <w:p>
            <w:r>
              <w:t>29.65%</w:t>
            </w:r>
          </w:p>
        </w:tc>
        <w:tc>
          <w:tcPr>
            <w:tcW w:type="dxa" w:w="960"/>
          </w:tcPr>
          <w:p>
            <w:r>
              <w:t>1.057</w:t>
            </w:r>
          </w:p>
        </w:tc>
        <w:tc>
          <w:tcPr>
            <w:tcW w:type="dxa" w:w="960"/>
          </w:tcPr>
          <w:p>
            <w:r>
              <w:t>1.19</w:t>
            </w:r>
          </w:p>
        </w:tc>
        <w:tc>
          <w:tcPr>
            <w:tcW w:type="dxa" w:w="960"/>
          </w:tcPr>
          <w:p>
            <w:r>
              <w:t>股价突破布林线上轨，但成交量确认不足，可能是假突破，需要下一交易日确认。</w:t>
            </w:r>
          </w:p>
        </w:tc>
      </w:tr>
      <w:tr>
        <w:tc>
          <w:tcPr>
            <w:tcW w:type="dxa" w:w="960"/>
          </w:tcPr>
          <w:p>
            <w:r>
              <w:t>RKLB</w:t>
            </w:r>
          </w:p>
        </w:tc>
        <w:tc>
          <w:tcPr>
            <w:tcW w:type="dxa" w:w="960"/>
          </w:tcPr>
          <w:p>
            <w:r>
              <w:t>Rocket Lab USA</w:t>
            </w:r>
          </w:p>
        </w:tc>
        <w:tc>
          <w:tcPr>
            <w:tcW w:type="dxa" w:w="960"/>
          </w:tcPr>
          <w:p>
            <w:r>
              <w:t>C 观察信号</w:t>
            </w:r>
          </w:p>
        </w:tc>
        <w:tc>
          <w:tcPr>
            <w:tcW w:type="dxa" w:w="960"/>
          </w:tcPr>
          <w:p>
            <w:r>
              <w:t>突破上轨但量能不足-弱；连续2日站上上轨；低位形态</w:t>
            </w:r>
          </w:p>
        </w:tc>
        <w:tc>
          <w:tcPr>
            <w:tcW w:type="dxa" w:w="960"/>
          </w:tcPr>
          <w:p>
            <w:r>
              <w:t>突破上轨</w:t>
            </w:r>
          </w:p>
        </w:tc>
        <w:tc>
          <w:tcPr>
            <w:tcW w:type="dxa" w:w="960"/>
          </w:tcPr>
          <w:p>
            <w:r>
              <w:t>15.87%</w:t>
            </w:r>
          </w:p>
        </w:tc>
        <w:tc>
          <w:tcPr>
            <w:tcW w:type="dxa" w:w="960"/>
          </w:tcPr>
          <w:p>
            <w:r>
              <w:t>1.174</w:t>
            </w:r>
          </w:p>
        </w:tc>
        <w:tc>
          <w:tcPr>
            <w:tcW w:type="dxa" w:w="960"/>
          </w:tcPr>
          <w:p>
            <w:r>
              <w:t>1.17</w:t>
            </w:r>
          </w:p>
        </w:tc>
        <w:tc>
          <w:tcPr>
            <w:tcW w:type="dxa" w:w="960"/>
          </w:tcPr>
          <w:p>
            <w:r>
              <w:t>股价突破布林线上轨，但成交量确认不足，可能是假突破，需要下一交易日确认。</w:t>
            </w:r>
          </w:p>
        </w:tc>
      </w:tr>
      <w:tr>
        <w:tc>
          <w:tcPr>
            <w:tcW w:type="dxa" w:w="960"/>
          </w:tcPr>
          <w:p>
            <w:r>
              <w:t>MU</w:t>
            </w:r>
          </w:p>
        </w:tc>
        <w:tc>
          <w:tcPr>
            <w:tcW w:type="dxa" w:w="960"/>
          </w:tcPr>
          <w:p>
            <w:r>
              <w:t>Micron Technology, Inc.</w:t>
            </w:r>
          </w:p>
        </w:tc>
        <w:tc>
          <w:tcPr>
            <w:tcW w:type="dxa" w:w="960"/>
          </w:tcPr>
          <w:p>
            <w:r>
              <w:t>C 观察信号</w:t>
            </w:r>
          </w:p>
        </w:tc>
        <w:tc>
          <w:tcPr>
            <w:tcW w:type="dxa" w:w="960"/>
          </w:tcPr>
          <w:p>
            <w:r>
              <w:t>突破上轨但量能不足-弱；连续2日站上上轨</w:t>
            </w:r>
          </w:p>
        </w:tc>
        <w:tc>
          <w:tcPr>
            <w:tcW w:type="dxa" w:w="960"/>
          </w:tcPr>
          <w:p>
            <w:r>
              <w:t>突破上轨</w:t>
            </w:r>
          </w:p>
        </w:tc>
        <w:tc>
          <w:tcPr>
            <w:tcW w:type="dxa" w:w="960"/>
          </w:tcPr>
          <w:p>
            <w:r>
              <w:t>18.94%</w:t>
            </w:r>
          </w:p>
        </w:tc>
        <w:tc>
          <w:tcPr>
            <w:tcW w:type="dxa" w:w="960"/>
          </w:tcPr>
          <w:p>
            <w:r>
              <w:t>1.170</w:t>
            </w:r>
          </w:p>
        </w:tc>
        <w:tc>
          <w:tcPr>
            <w:tcW w:type="dxa" w:w="960"/>
          </w:tcPr>
          <w:p>
            <w:r>
              <w:t>1.16</w:t>
            </w:r>
          </w:p>
        </w:tc>
        <w:tc>
          <w:tcPr>
            <w:tcW w:type="dxa" w:w="960"/>
          </w:tcPr>
          <w:p>
            <w:r>
              <w:t>股价突破布林线上轨，但成交量确认不足，可能是假突破，需要下一交易日确认。</w:t>
            </w:r>
          </w:p>
        </w:tc>
      </w:tr>
      <w:tr>
        <w:tc>
          <w:tcPr>
            <w:tcW w:type="dxa" w:w="960"/>
          </w:tcPr>
          <w:p>
            <w:r>
              <w:t>ONDS</w:t>
            </w:r>
          </w:p>
        </w:tc>
        <w:tc>
          <w:tcPr>
            <w:tcW w:type="dxa" w:w="960"/>
          </w:tcPr>
          <w:p>
            <w:r>
              <w:t>Ondas Holdings</w:t>
            </w:r>
          </w:p>
        </w:tc>
        <w:tc>
          <w:tcPr>
            <w:tcW w:type="dxa" w:w="960"/>
          </w:tcPr>
          <w:p>
            <w:r>
              <w:t>C 观察信号</w:t>
            </w:r>
          </w:p>
        </w:tc>
        <w:tc>
          <w:tcPr>
            <w:tcW w:type="dxa" w:w="960"/>
          </w:tcPr>
          <w:p>
            <w:r>
              <w:t>弱收口：Bandwidth低于近8个月30%分位且最近8个交易日及以上连续下降；中轨附近窄幅震荡；低位形态</w:t>
            </w:r>
          </w:p>
        </w:tc>
        <w:tc>
          <w:tcPr>
            <w:tcW w:type="dxa" w:w="960"/>
          </w:tcPr>
          <w:p>
            <w:r>
              <w:t>中轨附近</w:t>
            </w:r>
          </w:p>
        </w:tc>
        <w:tc>
          <w:tcPr>
            <w:tcW w:type="dxa" w:w="960"/>
          </w:tcPr>
          <w:p>
            <w:r>
              <w:t>21.92%</w:t>
            </w:r>
          </w:p>
        </w:tc>
        <w:tc>
          <w:tcPr>
            <w:tcW w:type="dxa" w:w="960"/>
          </w:tcPr>
          <w:p>
            <w:r>
              <w:t>0.584</w:t>
            </w:r>
          </w:p>
        </w:tc>
        <w:tc>
          <w:tcPr>
            <w:tcW w:type="dxa" w:w="960"/>
          </w:tcPr>
          <w:p>
            <w:r>
              <w:t>1.15</w:t>
            </w:r>
          </w:p>
        </w:tc>
        <w:tc>
          <w:tcPr>
            <w:tcW w:type="dxa" w:w="960"/>
          </w:tcPr>
          <w:p>
            <w:r>
              <w:t>布林带收口，说明波动率下降，股价可能处于蓄势阶段，但方向尚未确认。</w:t>
            </w:r>
          </w:p>
        </w:tc>
      </w:tr>
      <w:tr>
        <w:tc>
          <w:tcPr>
            <w:tcW w:type="dxa" w:w="960"/>
          </w:tcPr>
          <w:p>
            <w:r>
              <w:t>INTC</w:t>
            </w:r>
          </w:p>
        </w:tc>
        <w:tc>
          <w:tcPr>
            <w:tcW w:type="dxa" w:w="960"/>
          </w:tcPr>
          <w:p>
            <w:r>
              <w:t>Intel</w:t>
            </w:r>
          </w:p>
        </w:tc>
        <w:tc>
          <w:tcPr>
            <w:tcW w:type="dxa" w:w="960"/>
          </w:tcPr>
          <w:p>
            <w:r>
              <w:t>C 观察信号</w:t>
            </w:r>
          </w:p>
        </w:tc>
        <w:tc>
          <w:tcPr>
            <w:tcW w:type="dxa" w:w="960"/>
          </w:tcPr>
          <w:p>
            <w:r>
              <w:t>突破上轨但量能不足-弱；连续2日站上上轨</w:t>
            </w:r>
          </w:p>
        </w:tc>
        <w:tc>
          <w:tcPr>
            <w:tcW w:type="dxa" w:w="960"/>
          </w:tcPr>
          <w:p>
            <w:r>
              <w:t>突破上轨</w:t>
            </w:r>
          </w:p>
        </w:tc>
        <w:tc>
          <w:tcPr>
            <w:tcW w:type="dxa" w:w="960"/>
          </w:tcPr>
          <w:p>
            <w:r>
              <w:t>41.83%</w:t>
            </w:r>
          </w:p>
        </w:tc>
        <w:tc>
          <w:tcPr>
            <w:tcW w:type="dxa" w:w="960"/>
          </w:tcPr>
          <w:p>
            <w:r>
              <w:t>1.092</w:t>
            </w:r>
          </w:p>
        </w:tc>
        <w:tc>
          <w:tcPr>
            <w:tcW w:type="dxa" w:w="960"/>
          </w:tcPr>
          <w:p>
            <w:r>
              <w:t>1.05</w:t>
            </w:r>
          </w:p>
        </w:tc>
        <w:tc>
          <w:tcPr>
            <w:tcW w:type="dxa" w:w="960"/>
          </w:tcPr>
          <w:p>
            <w:r>
              <w:t>股价突破布林线上轨，但成交量确认不足，可能是假突破，需要下一交易日确认。</w:t>
            </w:r>
          </w:p>
        </w:tc>
      </w:tr>
      <w:tr>
        <w:tc>
          <w:tcPr>
            <w:tcW w:type="dxa" w:w="960"/>
          </w:tcPr>
          <w:p>
            <w:r>
              <w:t>MSFT</w:t>
            </w:r>
          </w:p>
        </w:tc>
        <w:tc>
          <w:tcPr>
            <w:tcW w:type="dxa" w:w="960"/>
          </w:tcPr>
          <w:p>
            <w:r>
              <w:t>Microsoft Corporation</w:t>
            </w:r>
          </w:p>
        </w:tc>
        <w:tc>
          <w:tcPr>
            <w:tcW w:type="dxa" w:w="960"/>
          </w:tcPr>
          <w:p>
            <w:r>
              <w:t>C 观察信号</w:t>
            </w:r>
          </w:p>
        </w:tc>
        <w:tc>
          <w:tcPr>
            <w:tcW w:type="dxa" w:w="960"/>
          </w:tcPr>
          <w:p>
            <w:r>
              <w:t>强收口：Bandwidth创近100日新低；中轨附近窄幅震荡</w:t>
            </w:r>
          </w:p>
        </w:tc>
        <w:tc>
          <w:tcPr>
            <w:tcW w:type="dxa" w:w="960"/>
          </w:tcPr>
          <w:p>
            <w:r>
              <w:t>中轨附近</w:t>
            </w:r>
          </w:p>
        </w:tc>
        <w:tc>
          <w:tcPr>
            <w:tcW w:type="dxa" w:w="960"/>
          </w:tcPr>
          <w:p>
            <w:r>
              <w:t>5.07%</w:t>
            </w:r>
          </w:p>
        </w:tc>
        <w:tc>
          <w:tcPr>
            <w:tcW w:type="dxa" w:w="960"/>
          </w:tcPr>
          <w:p>
            <w:r>
              <w:t>0.462</w:t>
            </w:r>
          </w:p>
        </w:tc>
        <w:tc>
          <w:tcPr>
            <w:tcW w:type="dxa" w:w="960"/>
          </w:tcPr>
          <w:p>
            <w:r>
              <w:t>1.00</w:t>
            </w:r>
          </w:p>
        </w:tc>
        <w:tc>
          <w:tcPr>
            <w:tcW w:type="dxa" w:w="960"/>
          </w:tcPr>
          <w:p>
            <w:r>
              <w:t>布林带收口，说明波动率下降，股价可能处于蓄势阶段，但方向尚未确认。</w:t>
            </w:r>
          </w:p>
        </w:tc>
      </w:tr>
      <w:tr>
        <w:tc>
          <w:tcPr>
            <w:tcW w:type="dxa" w:w="960"/>
          </w:tcPr>
          <w:p>
            <w:r>
              <w:t>ORCL</w:t>
            </w:r>
          </w:p>
        </w:tc>
        <w:tc>
          <w:tcPr>
            <w:tcW w:type="dxa" w:w="960"/>
          </w:tcPr>
          <w:p>
            <w:r>
              <w:t>Oracle</w:t>
            </w:r>
          </w:p>
        </w:tc>
        <w:tc>
          <w:tcPr>
            <w:tcW w:type="dxa" w:w="960"/>
          </w:tcPr>
          <w:p>
            <w:r>
              <w:t>C 观察信号</w:t>
            </w:r>
          </w:p>
        </w:tc>
        <w:tc>
          <w:tcPr>
            <w:tcW w:type="dxa" w:w="960"/>
          </w:tcPr>
          <w:p>
            <w:r>
              <w:t>弱收口：Bandwidth连续18天维持低于近8个月30%分位；中轨附近窄幅震荡；低位形态</w:t>
            </w:r>
          </w:p>
        </w:tc>
        <w:tc>
          <w:tcPr>
            <w:tcW w:type="dxa" w:w="960"/>
          </w:tcPr>
          <w:p>
            <w:r>
              <w:t>中轨附近</w:t>
            </w:r>
          </w:p>
        </w:tc>
        <w:tc>
          <w:tcPr>
            <w:tcW w:type="dxa" w:w="960"/>
          </w:tcPr>
          <w:p>
            <w:r>
              <w:t>15.76%</w:t>
            </w:r>
          </w:p>
        </w:tc>
        <w:tc>
          <w:tcPr>
            <w:tcW w:type="dxa" w:w="960"/>
          </w:tcPr>
          <w:p>
            <w:r>
              <w:t>0.472</w:t>
            </w:r>
          </w:p>
        </w:tc>
        <w:tc>
          <w:tcPr>
            <w:tcW w:type="dxa" w:w="960"/>
          </w:tcPr>
          <w:p>
            <w:r>
              <w:t>1.00</w:t>
            </w:r>
          </w:p>
        </w:tc>
        <w:tc>
          <w:tcPr>
            <w:tcW w:type="dxa" w:w="960"/>
          </w:tcPr>
          <w:p>
            <w:r>
              <w:t>布林带收口，说明波动率下降，股价可能处于蓄势阶段，但方向尚未确认。</w:t>
            </w:r>
          </w:p>
        </w:tc>
      </w:tr>
      <w:tr>
        <w:tc>
          <w:tcPr>
            <w:tcW w:type="dxa" w:w="960"/>
          </w:tcPr>
          <w:p>
            <w:r>
              <w:t>CBRS</w:t>
            </w:r>
          </w:p>
        </w:tc>
        <w:tc>
          <w:tcPr>
            <w:tcW w:type="dxa" w:w="960"/>
          </w:tcPr>
          <w:p>
            <w:r>
              <w:t>Chain Bridge Bancorp</w:t>
            </w:r>
          </w:p>
        </w:tc>
        <w:tc>
          <w:tcPr>
            <w:tcW w:type="dxa" w:w="960"/>
          </w:tcPr>
          <w:p>
            <w:r>
              <w:t>C 观察信号</w:t>
            </w:r>
          </w:p>
        </w:tc>
        <w:tc>
          <w:tcPr>
            <w:tcW w:type="dxa" w:w="960"/>
          </w:tcPr>
          <w:p>
            <w:r>
              <w:t>突破上轨但量能不足-弱；连续2日站上上轨</w:t>
            </w:r>
          </w:p>
        </w:tc>
        <w:tc>
          <w:tcPr>
            <w:tcW w:type="dxa" w:w="960"/>
          </w:tcPr>
          <w:p>
            <w:r>
              <w:t>突破上轨</w:t>
            </w:r>
          </w:p>
        </w:tc>
        <w:tc>
          <w:tcPr>
            <w:tcW w:type="dxa" w:w="960"/>
          </w:tcPr>
          <w:p>
            <w:r>
              <w:t>21.73%</w:t>
            </w:r>
          </w:p>
        </w:tc>
        <w:tc>
          <w:tcPr>
            <w:tcW w:type="dxa" w:w="960"/>
          </w:tcPr>
          <w:p>
            <w:r>
              <w:t>1.013</w:t>
            </w:r>
          </w:p>
        </w:tc>
        <w:tc>
          <w:tcPr>
            <w:tcW w:type="dxa" w:w="960"/>
          </w:tcPr>
          <w:p>
            <w:r>
              <w:t>0.98</w:t>
            </w:r>
          </w:p>
        </w:tc>
        <w:tc>
          <w:tcPr>
            <w:tcW w:type="dxa" w:w="960"/>
          </w:tcPr>
          <w:p>
            <w:r>
              <w:t>股价突破布林线上轨，但成交量确认不足，可能是假突破，需要下一交易日确认。</w:t>
            </w:r>
          </w:p>
        </w:tc>
      </w:tr>
      <w:tr>
        <w:tc>
          <w:tcPr>
            <w:tcW w:type="dxa" w:w="960"/>
          </w:tcPr>
          <w:p>
            <w:r>
              <w:t>QBTS</w:t>
            </w:r>
          </w:p>
        </w:tc>
        <w:tc>
          <w:tcPr>
            <w:tcW w:type="dxa" w:w="960"/>
          </w:tcPr>
          <w:p>
            <w:r>
              <w:t>D-Wave Quantum</w:t>
            </w:r>
          </w:p>
        </w:tc>
        <w:tc>
          <w:tcPr>
            <w:tcW w:type="dxa" w:w="960"/>
          </w:tcPr>
          <w:p>
            <w:r>
              <w:t>C 观察信号</w:t>
            </w:r>
          </w:p>
        </w:tc>
        <w:tc>
          <w:tcPr>
            <w:tcW w:type="dxa" w:w="960"/>
          </w:tcPr>
          <w:p>
            <w:r>
              <w:t>强收口：Bandwidth创近100日新低；中轨附近窄幅震荡；低位形态</w:t>
            </w:r>
          </w:p>
        </w:tc>
        <w:tc>
          <w:tcPr>
            <w:tcW w:type="dxa" w:w="960"/>
          </w:tcPr>
          <w:p>
            <w:r>
              <w:t>中轨附近</w:t>
            </w:r>
          </w:p>
        </w:tc>
        <w:tc>
          <w:tcPr>
            <w:tcW w:type="dxa" w:w="960"/>
          </w:tcPr>
          <w:p>
            <w:r>
              <w:t>16.17%</w:t>
            </w:r>
          </w:p>
        </w:tc>
        <w:tc>
          <w:tcPr>
            <w:tcW w:type="dxa" w:w="960"/>
          </w:tcPr>
          <w:p>
            <w:r>
              <w:t>0.644</w:t>
            </w:r>
          </w:p>
        </w:tc>
        <w:tc>
          <w:tcPr>
            <w:tcW w:type="dxa" w:w="960"/>
          </w:tcPr>
          <w:p>
            <w:r>
              <w:t>0.90</w:t>
            </w:r>
          </w:p>
        </w:tc>
        <w:tc>
          <w:tcPr>
            <w:tcW w:type="dxa" w:w="960"/>
          </w:tcPr>
          <w:p>
            <w:r>
              <w:t>布林带收口，说明波动率下降，股价可能处于蓄势阶段，但方向尚未确认。</w:t>
            </w:r>
          </w:p>
        </w:tc>
      </w:tr>
      <w:tr>
        <w:tc>
          <w:tcPr>
            <w:tcW w:type="dxa" w:w="960"/>
          </w:tcPr>
          <w:p>
            <w:r>
              <w:t>MRVL</w:t>
            </w:r>
          </w:p>
        </w:tc>
        <w:tc>
          <w:tcPr>
            <w:tcW w:type="dxa" w:w="960"/>
          </w:tcPr>
          <w:p>
            <w:r>
              <w:t>Marvell Technology</w:t>
            </w:r>
          </w:p>
        </w:tc>
        <w:tc>
          <w:tcPr>
            <w:tcW w:type="dxa" w:w="960"/>
          </w:tcPr>
          <w:p>
            <w:r>
              <w:t>C 观察信号</w:t>
            </w:r>
          </w:p>
        </w:tc>
        <w:tc>
          <w:tcPr>
            <w:tcW w:type="dxa" w:w="960"/>
          </w:tcPr>
          <w:p>
            <w:r>
              <w:t>突破上轨但量能不足-弱；连续2日站上上轨</w:t>
            </w:r>
          </w:p>
        </w:tc>
        <w:tc>
          <w:tcPr>
            <w:tcW w:type="dxa" w:w="960"/>
          </w:tcPr>
          <w:p>
            <w:r>
              <w:t>突破上轨</w:t>
            </w:r>
          </w:p>
        </w:tc>
        <w:tc>
          <w:tcPr>
            <w:tcW w:type="dxa" w:w="960"/>
          </w:tcPr>
          <w:p>
            <w:r>
              <w:t>26.96%</w:t>
            </w:r>
          </w:p>
        </w:tc>
        <w:tc>
          <w:tcPr>
            <w:tcW w:type="dxa" w:w="960"/>
          </w:tcPr>
          <w:p>
            <w:r>
              <w:t>1.019</w:t>
            </w:r>
          </w:p>
        </w:tc>
        <w:tc>
          <w:tcPr>
            <w:tcW w:type="dxa" w:w="960"/>
          </w:tcPr>
          <w:p>
            <w:r>
              <w:t>0.90</w:t>
            </w:r>
          </w:p>
        </w:tc>
        <w:tc>
          <w:tcPr>
            <w:tcW w:type="dxa" w:w="960"/>
          </w:tcPr>
          <w:p>
            <w:r>
              <w:t>股价突破布林线上轨，但成交量确认不足，可能是假突破，需要下一交易日确认。</w:t>
            </w:r>
          </w:p>
        </w:tc>
      </w:tr>
      <w:tr>
        <w:tc>
          <w:tcPr>
            <w:tcW w:type="dxa" w:w="960"/>
          </w:tcPr>
          <w:p>
            <w:r>
              <w:t>MANE</w:t>
            </w:r>
          </w:p>
        </w:tc>
        <w:tc>
          <w:tcPr>
            <w:tcW w:type="dxa" w:w="960"/>
          </w:tcPr>
          <w:p>
            <w:r>
              <w:t>Veradermics, Incorporated</w:t>
            </w:r>
          </w:p>
        </w:tc>
        <w:tc>
          <w:tcPr>
            <w:tcW w:type="dxa" w:w="960"/>
          </w:tcPr>
          <w:p>
            <w:r>
              <w:t>C 观察信号</w:t>
            </w:r>
          </w:p>
        </w:tc>
        <w:tc>
          <w:tcPr>
            <w:tcW w:type="dxa" w:w="960"/>
          </w:tcPr>
          <w:p>
            <w:r>
              <w:t>突破上轨但量能不足-弱</w:t>
            </w:r>
          </w:p>
        </w:tc>
        <w:tc>
          <w:tcPr>
            <w:tcW w:type="dxa" w:w="960"/>
          </w:tcPr>
          <w:p>
            <w:r>
              <w:t>突破上轨</w:t>
            </w:r>
          </w:p>
        </w:tc>
        <w:tc>
          <w:tcPr>
            <w:tcW w:type="dxa" w:w="960"/>
          </w:tcPr>
          <w:p>
            <w:r>
              <w:t>15.81%</w:t>
            </w:r>
          </w:p>
        </w:tc>
        <w:tc>
          <w:tcPr>
            <w:tcW w:type="dxa" w:w="960"/>
          </w:tcPr>
          <w:p>
            <w:r>
              <w:t>1.201</w:t>
            </w:r>
          </w:p>
        </w:tc>
        <w:tc>
          <w:tcPr>
            <w:tcW w:type="dxa" w:w="960"/>
          </w:tcPr>
          <w:p>
            <w:r>
              <w:t>0.88</w:t>
            </w:r>
          </w:p>
        </w:tc>
        <w:tc>
          <w:tcPr>
            <w:tcW w:type="dxa" w:w="960"/>
          </w:tcPr>
          <w:p>
            <w:r>
              <w:t>股价突破布林线上轨，但成交量确认不足，可能是假突破，需要下一交易日确认。</w:t>
            </w:r>
          </w:p>
        </w:tc>
      </w:tr>
      <w:tr>
        <w:tc>
          <w:tcPr>
            <w:tcW w:type="dxa" w:w="960"/>
          </w:tcPr>
          <w:p>
            <w:r>
              <w:t>QCOM</w:t>
            </w:r>
          </w:p>
        </w:tc>
        <w:tc>
          <w:tcPr>
            <w:tcW w:type="dxa" w:w="960"/>
          </w:tcPr>
          <w:p>
            <w:r>
              <w:t>QUALCOMM Incorporated</w:t>
            </w:r>
          </w:p>
        </w:tc>
        <w:tc>
          <w:tcPr>
            <w:tcW w:type="dxa" w:w="960"/>
          </w:tcPr>
          <w:p>
            <w:r>
              <w:t>C 观察信号</w:t>
            </w:r>
          </w:p>
        </w:tc>
        <w:tc>
          <w:tcPr>
            <w:tcW w:type="dxa" w:w="960"/>
          </w:tcPr>
          <w:p>
            <w:r>
              <w:t>突破上轨但量能不足-弱；连续2日站上上轨</w:t>
            </w:r>
          </w:p>
        </w:tc>
        <w:tc>
          <w:tcPr>
            <w:tcW w:type="dxa" w:w="960"/>
          </w:tcPr>
          <w:p>
            <w:r>
              <w:t>突破上轨</w:t>
            </w:r>
          </w:p>
        </w:tc>
        <w:tc>
          <w:tcPr>
            <w:tcW w:type="dxa" w:w="960"/>
          </w:tcPr>
          <w:p>
            <w:r>
              <w:t>23.76%</w:t>
            </w:r>
          </w:p>
        </w:tc>
        <w:tc>
          <w:tcPr>
            <w:tcW w:type="dxa" w:w="960"/>
          </w:tcPr>
          <w:p>
            <w:r>
              <w:t>1.034</w:t>
            </w:r>
          </w:p>
        </w:tc>
        <w:tc>
          <w:tcPr>
            <w:tcW w:type="dxa" w:w="960"/>
          </w:tcPr>
          <w:p>
            <w:r>
              <w:t>0.79</w:t>
            </w:r>
          </w:p>
        </w:tc>
        <w:tc>
          <w:tcPr>
            <w:tcW w:type="dxa" w:w="960"/>
          </w:tcPr>
          <w:p>
            <w:r>
              <w:t>股价突破布林线上轨，但成交量确认不足，可能是假突破，需要下一交易日确认。</w:t>
            </w:r>
          </w:p>
        </w:tc>
      </w:tr>
      <w:tr>
        <w:tc>
          <w:tcPr>
            <w:tcW w:type="dxa" w:w="960"/>
          </w:tcPr>
          <w:p>
            <w:r>
              <w:t>CRCL</w:t>
            </w:r>
          </w:p>
        </w:tc>
        <w:tc>
          <w:tcPr>
            <w:tcW w:type="dxa" w:w="960"/>
          </w:tcPr>
          <w:p>
            <w:r>
              <w:t>Circle Internet Group</w:t>
            </w:r>
          </w:p>
        </w:tc>
        <w:tc>
          <w:tcPr>
            <w:tcW w:type="dxa" w:w="960"/>
          </w:tcPr>
          <w:p>
            <w:r>
              <w:t>C 观察信号</w:t>
            </w:r>
          </w:p>
        </w:tc>
        <w:tc>
          <w:tcPr>
            <w:tcW w:type="dxa" w:w="960"/>
          </w:tcPr>
          <w:p>
            <w:r>
              <w:t>弱收口：Bandwidth低于近8个月30%分位且最近8个交易日及以上连续下降；中轨附近窄幅震荡</w:t>
            </w:r>
          </w:p>
        </w:tc>
        <w:tc>
          <w:tcPr>
            <w:tcW w:type="dxa" w:w="960"/>
          </w:tcPr>
          <w:p>
            <w:r>
              <w:t>中轨附近</w:t>
            </w:r>
          </w:p>
        </w:tc>
        <w:tc>
          <w:tcPr>
            <w:tcW w:type="dxa" w:w="960"/>
          </w:tcPr>
          <w:p>
            <w:r>
              <w:t>23.17%</w:t>
            </w:r>
          </w:p>
        </w:tc>
        <w:tc>
          <w:tcPr>
            <w:tcW w:type="dxa" w:w="960"/>
          </w:tcPr>
          <w:p>
            <w:r>
              <w:t>0.616</w:t>
            </w:r>
          </w:p>
        </w:tc>
        <w:tc>
          <w:tcPr>
            <w:tcW w:type="dxa" w:w="960"/>
          </w:tcPr>
          <w:p>
            <w:r>
              <w:t>0.77</w:t>
            </w:r>
          </w:p>
        </w:tc>
        <w:tc>
          <w:tcPr>
            <w:tcW w:type="dxa" w:w="960"/>
          </w:tcPr>
          <w:p>
            <w:r>
              <w:t>布林带收口，说明波动率下降，股价可能处于蓄势阶段，但方向尚未确认。</w:t>
            </w:r>
          </w:p>
        </w:tc>
      </w:tr>
      <w:tr>
        <w:tc>
          <w:tcPr>
            <w:tcW w:type="dxa" w:w="960"/>
          </w:tcPr>
          <w:p>
            <w:r>
              <w:t>AVGO</w:t>
            </w:r>
          </w:p>
        </w:tc>
        <w:tc>
          <w:tcPr>
            <w:tcW w:type="dxa" w:w="960"/>
          </w:tcPr>
          <w:p>
            <w:r>
              <w:t>Broadcom Inc.</w:t>
            </w:r>
          </w:p>
        </w:tc>
        <w:tc>
          <w:tcPr>
            <w:tcW w:type="dxa" w:w="960"/>
          </w:tcPr>
          <w:p>
            <w:r>
              <w:t>C 观察信号</w:t>
            </w:r>
          </w:p>
        </w:tc>
        <w:tc>
          <w:tcPr>
            <w:tcW w:type="dxa" w:w="960"/>
          </w:tcPr>
          <w:p>
            <w:r>
              <w:t>弱收口：Bandwidth连续8天维持低于近8个月30%分位；中轨附近窄幅震荡</w:t>
            </w:r>
          </w:p>
        </w:tc>
        <w:tc>
          <w:tcPr>
            <w:tcW w:type="dxa" w:w="960"/>
          </w:tcPr>
          <w:p>
            <w:r>
              <w:t>中轨附近</w:t>
            </w:r>
          </w:p>
        </w:tc>
        <w:tc>
          <w:tcPr>
            <w:tcW w:type="dxa" w:w="960"/>
          </w:tcPr>
          <w:p>
            <w:r>
              <w:t>10.77%</w:t>
            </w:r>
          </w:p>
        </w:tc>
        <w:tc>
          <w:tcPr>
            <w:tcW w:type="dxa" w:w="960"/>
          </w:tcPr>
          <w:p>
            <w:r>
              <w:t>0.635</w:t>
            </w:r>
          </w:p>
        </w:tc>
        <w:tc>
          <w:tcPr>
            <w:tcW w:type="dxa" w:w="960"/>
          </w:tcPr>
          <w:p>
            <w:r>
              <w:t>0.75</w:t>
            </w:r>
          </w:p>
        </w:tc>
        <w:tc>
          <w:tcPr>
            <w:tcW w:type="dxa" w:w="960"/>
          </w:tcPr>
          <w:p>
            <w:r>
              <w:t>布林带收口，说明波动率下降，股价可能处于蓄势阶段，但方向尚未确认。</w:t>
            </w:r>
          </w:p>
        </w:tc>
      </w:tr>
      <w:tr>
        <w:tc>
          <w:tcPr>
            <w:tcW w:type="dxa" w:w="960"/>
          </w:tcPr>
          <w:p>
            <w:r>
              <w:t>OKLO</w:t>
            </w:r>
          </w:p>
        </w:tc>
        <w:tc>
          <w:tcPr>
            <w:tcW w:type="dxa" w:w="960"/>
          </w:tcPr>
          <w:p>
            <w:r>
              <w:t>Oklo</w:t>
            </w:r>
          </w:p>
        </w:tc>
        <w:tc>
          <w:tcPr>
            <w:tcW w:type="dxa" w:w="960"/>
          </w:tcPr>
          <w:p>
            <w:r>
              <w:t>C 观察信号</w:t>
            </w:r>
          </w:p>
        </w:tc>
        <w:tc>
          <w:tcPr>
            <w:tcW w:type="dxa" w:w="960"/>
          </w:tcPr>
          <w:p>
            <w:r>
              <w:t>弱收口：Bandwidth连续20天维持低于近8个月30%分位；中轨附近窄幅震荡；低位形态</w:t>
            </w:r>
          </w:p>
        </w:tc>
        <w:tc>
          <w:tcPr>
            <w:tcW w:type="dxa" w:w="960"/>
          </w:tcPr>
          <w:p>
            <w:r>
              <w:t>中轨附近</w:t>
            </w:r>
          </w:p>
        </w:tc>
        <w:tc>
          <w:tcPr>
            <w:tcW w:type="dxa" w:w="960"/>
          </w:tcPr>
          <w:p>
            <w:r>
              <w:t>24.28%</w:t>
            </w:r>
          </w:p>
        </w:tc>
        <w:tc>
          <w:tcPr>
            <w:tcW w:type="dxa" w:w="960"/>
          </w:tcPr>
          <w:p>
            <w:r>
              <w:t>0.565</w:t>
            </w:r>
          </w:p>
        </w:tc>
        <w:tc>
          <w:tcPr>
            <w:tcW w:type="dxa" w:w="960"/>
          </w:tcPr>
          <w:p>
            <w:r>
              <w:t>0.74</w:t>
            </w:r>
          </w:p>
        </w:tc>
        <w:tc>
          <w:tcPr>
            <w:tcW w:type="dxa" w:w="960"/>
          </w:tcPr>
          <w:p>
            <w:r>
              <w:t>布林带收口，说明波动率下降，股价可能处于蓄势阶段，但方向尚未确认。</w:t>
            </w:r>
          </w:p>
        </w:tc>
      </w:tr>
    </w:tbl>
    <w:p>
      <w:pPr>
        <w:pStyle w:val="Heading2"/>
      </w:pPr>
      <w:r>
        <w:t>二、重点结论</w:t>
      </w:r>
    </w:p>
    <w:p>
      <w:pPr>
        <w:pStyle w:val="ListBullet"/>
      </w:pPr>
      <w:r>
        <w:t>强信号：INOD, BB, IBRX, ARM, ALAB, VICR, AMD。</w:t>
      </w:r>
    </w:p>
    <w:p>
      <w:pPr>
        <w:pStyle w:val="ListBullet"/>
      </w:pPr>
      <w:r>
        <w:t>中等信号：OPTX, INSP, NOK, AMZN, CRSP, AAOI。</w:t>
      </w:r>
    </w:p>
    <w:p>
      <w:pPr>
        <w:pStyle w:val="ListBullet"/>
      </w:pPr>
      <w:r>
        <w:t>观察信号：SNDK, RKLB, MU, ONDS, INTC, MSFT, ORCL, CBRS, QBTS, MRVL, MANE, QCOM, CRCL, AVGO, OKLO。</w:t>
      </w:r>
    </w:p>
    <w:p>
      <w:pPr>
        <w:pStyle w:val="ListBullet"/>
      </w:pPr>
      <w:r>
        <w:t>今日优先复核：INOD, BB, IBRX, ARM, ALAB。优先看是否放量、能否站稳上轨或中轨。</w:t>
      </w:r>
    </w:p>
    <w:p>
      <w:pPr>
        <w:pStyle w:val="ListBullet"/>
      </w:pPr>
      <w:r>
        <w:t>风险提示：持续收窄只代表波动率降低，不代表方向已经确认；开口和突破也可能是假突破，需要观察成交量和中轨支撑。</w:t>
      </w:r>
    </w:p>
    <w:p>
      <w:pPr>
        <w:pStyle w:val="Heading2"/>
      </w:pPr>
      <w:r>
        <w:t>三、个股分析：技术面解读</w:t>
      </w:r>
    </w:p>
    <w:p>
      <w:pPr>
        <w:pStyle w:val="Heading3"/>
      </w:pPr>
      <w:r>
        <w:t>INOD - Innodata</w:t>
      </w:r>
    </w:p>
    <w:p>
      <w:pPr>
        <w:pStyle w:val="ListBullet"/>
      </w:pPr>
      <w:r>
        <w:t>信号等级：A 强信号</w:t>
      </w:r>
    </w:p>
    <w:p>
      <w:pPr>
        <w:pStyle w:val="ListBullet"/>
      </w:pPr>
      <w:r>
        <w:t>最新收盘价：$69.97</w:t>
      </w:r>
    </w:p>
    <w:p>
      <w:pPr>
        <w:pStyle w:val="ListBullet"/>
      </w:pPr>
      <w:r>
        <w:t>BOLL：上轨 $63.75；中轨 $56.61；下轨 $49.46</w:t>
      </w:r>
    </w:p>
    <w:p>
      <w:pPr>
        <w:pStyle w:val="ListBullet"/>
      </w:pPr>
      <w:r>
        <w:t>Bandwidth：25.25%；历史分位：31.55%；%B：1.435</w:t>
      </w:r>
    </w:p>
    <w:p>
      <w:pPr>
        <w:pStyle w:val="ListBullet"/>
      </w:pPr>
      <w:r>
        <w:t>成交量：当日 5406500；20日均量 1171945；量比 4.61</w:t>
      </w:r>
    </w:p>
    <w:p>
      <w:pPr>
        <w:pStyle w:val="ListBullet"/>
      </w:pPr>
      <w:r>
        <w:t>触发信号：布林带向上开口（最近1天）；成交量放大；放量突破上轨-强；连续2日站上上轨；中轨反弹并接近上轨；成交量放大</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风险提示：股价明显高于上轨，短线可能过热，需防回踩。</w:t>
      </w:r>
    </w:p>
    <w:p>
      <w:pPr>
        <w:pStyle w:val="Heading3"/>
      </w:pPr>
      <w:r>
        <w:t>BB - BlackBerry</w:t>
      </w:r>
    </w:p>
    <w:p>
      <w:pPr>
        <w:pStyle w:val="ListBullet"/>
      </w:pPr>
      <w:r>
        <w:t>信号等级：A 强信号</w:t>
      </w:r>
    </w:p>
    <w:p>
      <w:pPr>
        <w:pStyle w:val="ListBullet"/>
      </w:pPr>
      <w:r>
        <w:t>最新收盘价：$8.62</w:t>
      </w:r>
    </w:p>
    <w:p>
      <w:pPr>
        <w:pStyle w:val="ListBullet"/>
      </w:pPr>
      <w:r>
        <w:t>BOLL：上轨 $8.57；中轨 $7.92；下轨 $7.28</w:t>
      </w:r>
    </w:p>
    <w:p>
      <w:pPr>
        <w:pStyle w:val="ListBullet"/>
      </w:pPr>
      <w:r>
        <w:t>Bandwidth：16.38%；历史分位：33.33%；%B：1.036</w:t>
      </w:r>
    </w:p>
    <w:p>
      <w:pPr>
        <w:pStyle w:val="ListBullet"/>
      </w:pPr>
      <w:r>
        <w:t>成交量：当日 30094700；20日均量 10992345；量比 2.74</w:t>
      </w:r>
    </w:p>
    <w:p>
      <w:pPr>
        <w:pStyle w:val="ListBullet"/>
      </w:pPr>
      <w:r>
        <w:t>触发信号：布林带向上开口（最近2天）；成交量放大；放量突破上轨-强；连续2日站上上轨；中轨反弹并接近上轨；成交量放大</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风险提示：重点观察成交量变化以及中轨支撑/压力是否有效。</w:t>
      </w:r>
    </w:p>
    <w:p>
      <w:pPr>
        <w:pStyle w:val="Heading3"/>
      </w:pPr>
      <w:r>
        <w:t>IBRX - ImmunityBio, Inc.</w:t>
      </w:r>
    </w:p>
    <w:p>
      <w:pPr>
        <w:pStyle w:val="ListBullet"/>
      </w:pPr>
      <w:r>
        <w:t>信号等级：A 强信号</w:t>
      </w:r>
    </w:p>
    <w:p>
      <w:pPr>
        <w:pStyle w:val="ListBullet"/>
      </w:pPr>
      <w:r>
        <w:t>最新收盘价：$9.29</w:t>
      </w:r>
    </w:p>
    <w:p>
      <w:pPr>
        <w:pStyle w:val="ListBullet"/>
      </w:pPr>
      <w:r>
        <w:t>BOLL：上轨 $8.86；中轨 $8.20；下轨 $7.54</w:t>
      </w:r>
    </w:p>
    <w:p>
      <w:pPr>
        <w:pStyle w:val="ListBullet"/>
      </w:pPr>
      <w:r>
        <w:t>Bandwidth：16.06%；历史分位：10.12%；%B：1.327</w:t>
      </w:r>
    </w:p>
    <w:p>
      <w:pPr>
        <w:pStyle w:val="ListBullet"/>
      </w:pPr>
      <w:r>
        <w:t>成交量：当日 21133200；20日均量 10410165；量比 2.03</w:t>
      </w:r>
    </w:p>
    <w:p>
      <w:pPr>
        <w:pStyle w:val="ListBullet"/>
      </w:pPr>
      <w:r>
        <w:t>触发信号：布林带向上开口（最近4天）；成交量放大；放量突破上轨-强；中轨反弹并接近上轨；成交量放大</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风险提示：股价明显高于上轨，短线可能过热，需防回踩。；尚未连续两日站上上轨，需要下一交易日确认。</w:t>
      </w:r>
    </w:p>
    <w:p>
      <w:pPr>
        <w:pStyle w:val="Heading3"/>
      </w:pPr>
      <w:r>
        <w:t>ARM - Arm Holdings</w:t>
      </w:r>
    </w:p>
    <w:p>
      <w:pPr>
        <w:pStyle w:val="ListBullet"/>
      </w:pPr>
      <w:r>
        <w:t>信号等级：A 强信号</w:t>
      </w:r>
    </w:p>
    <w:p>
      <w:pPr>
        <w:pStyle w:val="ListBullet"/>
      </w:pPr>
      <w:r>
        <w:t>最新收盘价：$333.20</w:t>
      </w:r>
    </w:p>
    <w:p>
      <w:pPr>
        <w:pStyle w:val="ListBullet"/>
      </w:pPr>
      <w:r>
        <w:t>BOLL：上轨 $309.82；中轨 $257.97；下轨 $206.11</w:t>
      </w:r>
    </w:p>
    <w:p>
      <w:pPr>
        <w:pStyle w:val="ListBullet"/>
      </w:pPr>
      <w:r>
        <w:t>Bandwidth：40.20%；历史分位：69.05%；%B：1.225</w:t>
      </w:r>
    </w:p>
    <w:p>
      <w:pPr>
        <w:pStyle w:val="ListBullet"/>
      </w:pPr>
      <w:r>
        <w:t>成交量：当日 7409800；20日均量 4745150；量比 1.56</w:t>
      </w:r>
    </w:p>
    <w:p>
      <w:pPr>
        <w:pStyle w:val="ListBullet"/>
      </w:pPr>
      <w:r>
        <w:t>触发信号：布林带向上开口（最近4天）；成交量放大；放量突破上轨-中；连续2日站上上轨；中轨反弹并接近上轨；成交量放大</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风险提示：股价明显高于上轨，短线可能过热，需防回踩。</w:t>
      </w:r>
    </w:p>
    <w:p>
      <w:pPr>
        <w:pStyle w:val="Heading3"/>
      </w:pPr>
      <w:r>
        <w:t>ALAB - Astera Labs</w:t>
      </w:r>
    </w:p>
    <w:p>
      <w:pPr>
        <w:pStyle w:val="ListBullet"/>
      </w:pPr>
      <w:r>
        <w:t>信号等级：A 强信号</w:t>
      </w:r>
    </w:p>
    <w:p>
      <w:pPr>
        <w:pStyle w:val="ListBullet"/>
      </w:pPr>
      <w:r>
        <w:t>最新收盘价：$363.46</w:t>
      </w:r>
    </w:p>
    <w:p>
      <w:pPr>
        <w:pStyle w:val="ListBullet"/>
      </w:pPr>
      <w:r>
        <w:t>BOLL：上轨 $342.17；中轨 $292.78；下轨 $243.40</w:t>
      </w:r>
    </w:p>
    <w:p>
      <w:pPr>
        <w:pStyle w:val="ListBullet"/>
      </w:pPr>
      <w:r>
        <w:t>Bandwidth：33.73%；历史分位：48.21%；%B：1.216</w:t>
      </w:r>
    </w:p>
    <w:p>
      <w:pPr>
        <w:pStyle w:val="ListBullet"/>
      </w:pPr>
      <w:r>
        <w:t>成交量：当日 5460000；20日均量 3871265；量比 1.41</w:t>
      </w:r>
    </w:p>
    <w:p>
      <w:pPr>
        <w:pStyle w:val="ListBullet"/>
      </w:pPr>
      <w:r>
        <w:t>触发信号：布林带向上开口（最近5天）；成交量放大；放量突破上轨-中；连续2日站上上轨；中轨反弹并接近上轨；成交量放大</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风险提示：股价明显高于上轨，短线可能过热，需防回踩。</w:t>
      </w:r>
    </w:p>
    <w:p>
      <w:pPr>
        <w:pStyle w:val="Heading3"/>
      </w:pPr>
      <w:r>
        <w:t>VICR - Vicor Corporation</w:t>
      </w:r>
    </w:p>
    <w:p>
      <w:pPr>
        <w:pStyle w:val="ListBullet"/>
      </w:pPr>
      <w:r>
        <w:t>信号等级：A 强信号</w:t>
      </w:r>
    </w:p>
    <w:p>
      <w:pPr>
        <w:pStyle w:val="ListBullet"/>
      </w:pPr>
      <w:r>
        <w:t>最新收盘价：$223.90</w:t>
      </w:r>
    </w:p>
    <w:p>
      <w:pPr>
        <w:pStyle w:val="ListBullet"/>
      </w:pPr>
      <w:r>
        <w:t>BOLL：上轨 $220.25；中轨 $192.73；下轨 $165.20</w:t>
      </w:r>
    </w:p>
    <w:p>
      <w:pPr>
        <w:pStyle w:val="ListBullet"/>
      </w:pPr>
      <w:r>
        <w:t>Bandwidth：28.56%；历史分位：15.48%；%B：1.066</w:t>
      </w:r>
    </w:p>
    <w:p>
      <w:pPr>
        <w:pStyle w:val="ListBullet"/>
      </w:pPr>
      <w:r>
        <w:t>成交量：当日 1038600；20日均量 776235；量比 1.34</w:t>
      </w:r>
    </w:p>
    <w:p>
      <w:pPr>
        <w:pStyle w:val="ListBullet"/>
      </w:pPr>
      <w:r>
        <w:t>触发信号：布林带向上开口（最近2天）；成交量放大；放量突破上轨-中；连续2日站上上轨；中轨反弹并接近上轨；成交量放大</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风险提示：重点观察成交量变化以及中轨支撑/压力是否有效。</w:t>
      </w:r>
    </w:p>
    <w:p>
      <w:pPr>
        <w:pStyle w:val="Heading3"/>
      </w:pPr>
      <w:r>
        <w:t>AMD - Advanced Micro Devices</w:t>
      </w:r>
    </w:p>
    <w:p>
      <w:pPr>
        <w:pStyle w:val="ListBullet"/>
      </w:pPr>
      <w:r>
        <w:t>信号等级：A 强信号</w:t>
      </w:r>
    </w:p>
    <w:p>
      <w:pPr>
        <w:pStyle w:val="ListBullet"/>
      </w:pPr>
      <w:r>
        <w:t>最新收盘价：$623.77</w:t>
      </w:r>
    </w:p>
    <w:p>
      <w:pPr>
        <w:pStyle w:val="ListBullet"/>
      </w:pPr>
      <w:r>
        <w:t>BOLL：上轨 $599.76；中轨 $506.22；下轨 $412.67</w:t>
      </w:r>
    </w:p>
    <w:p>
      <w:pPr>
        <w:pStyle w:val="ListBullet"/>
      </w:pPr>
      <w:r>
        <w:t>Bandwidth：36.96%；历史分位：76.79%；%B：1.128</w:t>
      </w:r>
    </w:p>
    <w:p>
      <w:pPr>
        <w:pStyle w:val="ListBullet"/>
      </w:pPr>
      <w:r>
        <w:t>成交量：当日 28282800；20日均量 21152405；量比 1.34</w:t>
      </w:r>
    </w:p>
    <w:p>
      <w:pPr>
        <w:pStyle w:val="ListBullet"/>
      </w:pPr>
      <w:r>
        <w:t>触发信号：布林带向上开口（最近5天）；成交量放大；放量突破上轨-中；连续2日站上上轨</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风险提示：重点观察成交量变化以及中轨支撑/压力是否有效。</w:t>
      </w:r>
    </w:p>
    <w:p>
      <w:pPr>
        <w:pStyle w:val="Heading3"/>
      </w:pPr>
      <w:r>
        <w:t>OPTX - Syntec Optics Holdings</w:t>
      </w:r>
    </w:p>
    <w:p>
      <w:pPr>
        <w:pStyle w:val="ListBullet"/>
      </w:pPr>
      <w:r>
        <w:t>信号等级：B 中等信号</w:t>
      </w:r>
    </w:p>
    <w:p>
      <w:pPr>
        <w:pStyle w:val="ListBullet"/>
      </w:pPr>
      <w:r>
        <w:t>最新收盘价：$7.89</w:t>
      </w:r>
    </w:p>
    <w:p>
      <w:pPr>
        <w:pStyle w:val="ListBullet"/>
      </w:pPr>
      <w:r>
        <w:t>BOLL：上轨 $8.94；中轨 $7.54；下轨 $6.14</w:t>
      </w:r>
    </w:p>
    <w:p>
      <w:pPr>
        <w:pStyle w:val="ListBullet"/>
      </w:pPr>
      <w:r>
        <w:t>Bandwidth：37.12%；历史分位：21.43%；%B：0.625</w:t>
      </w:r>
    </w:p>
    <w:p>
      <w:pPr>
        <w:pStyle w:val="ListBullet"/>
      </w:pPr>
      <w:r>
        <w:t>成交量：当日 1318600；20日均量 294595；量比 4.48</w:t>
      </w:r>
    </w:p>
    <w:p>
      <w:pPr>
        <w:pStyle w:val="ListBullet"/>
      </w:pPr>
      <w:r>
        <w:t>触发信号：下轨反弹：处于中轨与上轨之间；成交量温和改善</w:t>
      </w:r>
    </w:p>
    <w:p>
      <w:pPr>
        <w:pStyle w:val="ListBullet"/>
      </w:pPr>
      <w:r>
        <w:t>技术面解读：股价从下轨附近反弹并回到中轨上方，目前处于中轨与上轨之间，说明短线修复有所增强，但仍需要成交量和中轨支撑继续确认。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INSP - Inspire Medical Systems, Inc.</w:t>
      </w:r>
    </w:p>
    <w:p>
      <w:pPr>
        <w:pStyle w:val="ListBullet"/>
      </w:pPr>
      <w:r>
        <w:t>信号等级：B 中等信号</w:t>
      </w:r>
    </w:p>
    <w:p>
      <w:pPr>
        <w:pStyle w:val="ListBullet"/>
      </w:pPr>
      <w:r>
        <w:t>最新收盘价：$75.72</w:t>
      </w:r>
    </w:p>
    <w:p>
      <w:pPr>
        <w:pStyle w:val="ListBullet"/>
      </w:pPr>
      <w:r>
        <w:t>BOLL：上轨 $78.39；中轨 $66.80；下轨 $55.21</w:t>
      </w:r>
    </w:p>
    <w:p>
      <w:pPr>
        <w:pStyle w:val="ListBullet"/>
      </w:pPr>
      <w:r>
        <w:t>Bandwidth：34.70%；历史分位：80.95%；%B：0.885</w:t>
      </w:r>
    </w:p>
    <w:p>
      <w:pPr>
        <w:pStyle w:val="ListBullet"/>
      </w:pPr>
      <w:r>
        <w:t>成交量：当日 1075700；20日均量 764810；量比 1.41</w:t>
      </w:r>
    </w:p>
    <w:p>
      <w:pPr>
        <w:pStyle w:val="ListBullet"/>
      </w:pPr>
      <w:r>
        <w:t>触发信号：布林带向上开口（最近5天）；成交量放大；低位形态</w:t>
      </w:r>
    </w:p>
    <w:p>
      <w:pPr>
        <w:pStyle w:val="ListBullet"/>
      </w:pPr>
      <w:r>
        <w:t>技术面解读：布林带向上开口，说明波动率开始放大，股价接近上轨，可能进入趋势启动观察阶段，需要继续结合突破方向和成交量判断。</w:t>
      </w:r>
    </w:p>
    <w:p>
      <w:pPr>
        <w:pStyle w:val="ListBullet"/>
      </w:pPr>
      <w:r>
        <w:t>是否需要下一交易日确认：是。重点观察收盘价是否继续位于关键轨道一侧，以及成交量是否延续。</w:t>
      </w:r>
    </w:p>
    <w:p>
      <w:pPr>
        <w:pStyle w:val="ListBullet"/>
      </w:pPr>
      <w:r>
        <w:t>风险提示：重点观察成交量变化以及中轨支撑/压力是否有效。</w:t>
      </w:r>
    </w:p>
    <w:p>
      <w:pPr>
        <w:pStyle w:val="Heading3"/>
      </w:pPr>
      <w:r>
        <w:t>NOK - Nokia Oyj</w:t>
      </w:r>
    </w:p>
    <w:p>
      <w:pPr>
        <w:pStyle w:val="ListBullet"/>
      </w:pPr>
      <w:r>
        <w:t>信号等级：B 中等信号</w:t>
      </w:r>
    </w:p>
    <w:p>
      <w:pPr>
        <w:pStyle w:val="ListBullet"/>
      </w:pPr>
      <w:r>
        <w:t>最新收盘价：$10.82</w:t>
      </w:r>
    </w:p>
    <w:p>
      <w:pPr>
        <w:pStyle w:val="ListBullet"/>
      </w:pPr>
      <w:r>
        <w:t>BOLL：上轨 $11.19；中轨 $10.36；下轨 $9.52</w:t>
      </w:r>
    </w:p>
    <w:p>
      <w:pPr>
        <w:pStyle w:val="ListBullet"/>
      </w:pPr>
      <w:r>
        <w:t>Bandwidth：16.10%；历史分位：22.02%；%B：0.779</w:t>
      </w:r>
    </w:p>
    <w:p>
      <w:pPr>
        <w:pStyle w:val="ListBullet"/>
      </w:pPr>
      <w:r>
        <w:t>成交量：当日 107946500；20日均量 84085390；量比 1.28</w:t>
      </w:r>
    </w:p>
    <w:p>
      <w:pPr>
        <w:pStyle w:val="ListBullet"/>
      </w:pPr>
      <w:r>
        <w:t>触发信号：下轨反弹：处于中轨与上轨之间；成交量温和改善</w:t>
      </w:r>
    </w:p>
    <w:p>
      <w:pPr>
        <w:pStyle w:val="ListBullet"/>
      </w:pPr>
      <w:r>
        <w:t>技术面解读：股价从下轨附近反弹并回到中轨上方，目前处于中轨与上轨之间，说明短线修复有所增强，但仍需要成交量和中轨支撑继续确认。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AMZN - Amazon.com</w:t>
      </w:r>
    </w:p>
    <w:p>
      <w:pPr>
        <w:pStyle w:val="ListBullet"/>
      </w:pPr>
      <w:r>
        <w:t>信号等级：B 中等信号</w:t>
      </w:r>
    </w:p>
    <w:p>
      <w:pPr>
        <w:pStyle w:val="ListBullet"/>
      </w:pPr>
      <w:r>
        <w:t>最新收盘价：$254.98</w:t>
      </w:r>
    </w:p>
    <w:p>
      <w:pPr>
        <w:pStyle w:val="ListBullet"/>
      </w:pPr>
      <w:r>
        <w:t>BOLL：上轨 $264.87；中轨 $255.77；下轨 $246.67</w:t>
      </w:r>
    </w:p>
    <w:p>
      <w:pPr>
        <w:pStyle w:val="ListBullet"/>
      </w:pPr>
      <w:r>
        <w:t>Bandwidth：7.12%；历史分位：12.50%；%B：0.457</w:t>
      </w:r>
    </w:p>
    <w:p>
      <w:pPr>
        <w:pStyle w:val="ListBullet"/>
      </w:pPr>
      <w:r>
        <w:t>成交量：当日 41982600；20日均量 33922630；量比 1.24</w:t>
      </w:r>
    </w:p>
    <w:p>
      <w:pPr>
        <w:pStyle w:val="ListBullet"/>
      </w:pPr>
      <w:r>
        <w:t>触发信号：中等收口：Bandwidth低于近8个月20%分位且持续11天；中轨附近窄幅震荡；接近突破中轨</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CRSP - CRISPR Therapeutics AG</w:t>
      </w:r>
    </w:p>
    <w:p>
      <w:pPr>
        <w:pStyle w:val="ListBullet"/>
      </w:pPr>
      <w:r>
        <w:t>信号等级：B 中等信号</w:t>
      </w:r>
    </w:p>
    <w:p>
      <w:pPr>
        <w:pStyle w:val="ListBullet"/>
      </w:pPr>
      <w:r>
        <w:t>最新收盘价：$58.33</w:t>
      </w:r>
    </w:p>
    <w:p>
      <w:pPr>
        <w:pStyle w:val="ListBullet"/>
      </w:pPr>
      <w:r>
        <w:t>BOLL：上轨 $61.25；中轨 $55.94；下轨 $50.62</w:t>
      </w:r>
    </w:p>
    <w:p>
      <w:pPr>
        <w:pStyle w:val="ListBullet"/>
      </w:pPr>
      <w:r>
        <w:t>Bandwidth：19.01%；历史分位：29.76%；%B：0.725</w:t>
      </w:r>
    </w:p>
    <w:p>
      <w:pPr>
        <w:pStyle w:val="ListBullet"/>
      </w:pPr>
      <w:r>
        <w:t>成交量：当日 1813500；20日均量 1531200；量比 1.18</w:t>
      </w:r>
    </w:p>
    <w:p>
      <w:pPr>
        <w:pStyle w:val="ListBullet"/>
      </w:pPr>
      <w:r>
        <w:t>触发信号：下轨反弹：处于中轨与上轨之间；成交量温和改善</w:t>
      </w:r>
    </w:p>
    <w:p>
      <w:pPr>
        <w:pStyle w:val="ListBullet"/>
      </w:pPr>
      <w:r>
        <w:t>技术面解读：股价从下轨附近反弹并回到中轨上方，目前处于中轨与上轨之间，说明短线修复有所增强，但仍需要成交量和中轨支撑继续确认。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AAOI - Applied Optoelectronics</w:t>
      </w:r>
    </w:p>
    <w:p>
      <w:pPr>
        <w:pStyle w:val="ListBullet"/>
      </w:pPr>
      <w:r>
        <w:t>信号等级：B 中等信号</w:t>
      </w:r>
    </w:p>
    <w:p>
      <w:pPr>
        <w:pStyle w:val="ListBullet"/>
      </w:pPr>
      <w:r>
        <w:t>最新收盘价：$107.00</w:t>
      </w:r>
    </w:p>
    <w:p>
      <w:pPr>
        <w:pStyle w:val="ListBullet"/>
      </w:pPr>
      <w:r>
        <w:t>BOLL：上轨 $116.17；中轨 $105.07；下轨 $93.97</w:t>
      </w:r>
    </w:p>
    <w:p>
      <w:pPr>
        <w:pStyle w:val="ListBullet"/>
      </w:pPr>
      <w:r>
        <w:t>Bandwidth：21.13%；历史分位：0.60%；%B：0.587</w:t>
      </w:r>
    </w:p>
    <w:p>
      <w:pPr>
        <w:pStyle w:val="ListBullet"/>
      </w:pPr>
      <w:r>
        <w:t>成交量：当日 7480500；20日均量 6615165；量比 1.13</w:t>
      </w:r>
    </w:p>
    <w:p>
      <w:pPr>
        <w:pStyle w:val="ListBullet"/>
      </w:pPr>
      <w:r>
        <w:t>触发信号：强收口：Bandwidth创近100日新低；中轨附近窄幅震荡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SNDK - Sandisk Corporation</w:t>
      </w:r>
    </w:p>
    <w:p>
      <w:pPr>
        <w:pStyle w:val="ListBullet"/>
      </w:pPr>
      <w:r>
        <w:t>信号等级：C 观察信号</w:t>
      </w:r>
    </w:p>
    <w:p>
      <w:pPr>
        <w:pStyle w:val="ListBullet"/>
      </w:pPr>
      <w:r>
        <w:t>最新收盘价：$1887.04</w:t>
      </w:r>
    </w:p>
    <w:p>
      <w:pPr>
        <w:pStyle w:val="ListBullet"/>
      </w:pPr>
      <w:r>
        <w:t>BOLL：上轨 $1859.77；中轨 $1619.64；下轨 $1379.52</w:t>
      </w:r>
    </w:p>
    <w:p>
      <w:pPr>
        <w:pStyle w:val="ListBullet"/>
      </w:pPr>
      <w:r>
        <w:t>Bandwidth：29.65%；历史分位：14.88%；%B：1.057</w:t>
      </w:r>
    </w:p>
    <w:p>
      <w:pPr>
        <w:pStyle w:val="ListBullet"/>
      </w:pPr>
      <w:r>
        <w:t>成交量：当日 12927100；20日均量 10834615；量比 1.19</w:t>
      </w:r>
    </w:p>
    <w:p>
      <w:pPr>
        <w:pStyle w:val="ListBullet"/>
      </w:pPr>
      <w:r>
        <w:t>触发信号：突破上轨但量能不足-弱</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风险提示：突破上轨但成交量不足，存在假突破风险。；尚未连续两日站上上轨，需要下一交易日确认。</w:t>
      </w:r>
    </w:p>
    <w:p>
      <w:pPr>
        <w:pStyle w:val="Heading3"/>
      </w:pPr>
      <w:r>
        <w:t>RKLB - Rocket Lab USA</w:t>
      </w:r>
    </w:p>
    <w:p>
      <w:pPr>
        <w:pStyle w:val="ListBullet"/>
      </w:pPr>
      <w:r>
        <w:t>信号等级：C 观察信号</w:t>
      </w:r>
    </w:p>
    <w:p>
      <w:pPr>
        <w:pStyle w:val="ListBullet"/>
      </w:pPr>
      <w:r>
        <w:t>最新收盘价：$71.98</w:t>
      </w:r>
    </w:p>
    <w:p>
      <w:pPr>
        <w:pStyle w:val="ListBullet"/>
      </w:pPr>
      <w:r>
        <w:t>BOLL：上轨 $70.19；中轨 $65.03；下轨 $59.87</w:t>
      </w:r>
    </w:p>
    <w:p>
      <w:pPr>
        <w:pStyle w:val="ListBullet"/>
      </w:pPr>
      <w:r>
        <w:t>Bandwidth：15.87%；历史分位：11.90%；%B：1.174</w:t>
      </w:r>
    </w:p>
    <w:p>
      <w:pPr>
        <w:pStyle w:val="ListBullet"/>
      </w:pPr>
      <w:r>
        <w:t>成交量：当日 22048800；20日均量 18835240；量比 1.17</w:t>
      </w:r>
    </w:p>
    <w:p>
      <w:pPr>
        <w:pStyle w:val="ListBullet"/>
      </w:pPr>
      <w:r>
        <w:t>触发信号：突破上轨但量能不足-弱；连续2日站上上轨；低位形态</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风险提示：突破上轨但成交量不足，存在假突破风险。；股价明显高于上轨，短线可能过热，需防回踩。</w:t>
      </w:r>
    </w:p>
    <w:p>
      <w:pPr>
        <w:pStyle w:val="Heading3"/>
      </w:pPr>
      <w:r>
        <w:t>MU - Micron Technology, Inc.</w:t>
      </w:r>
    </w:p>
    <w:p>
      <w:pPr>
        <w:pStyle w:val="ListBullet"/>
      </w:pPr>
      <w:r>
        <w:t>信号等级：C 观察信号</w:t>
      </w:r>
    </w:p>
    <w:p>
      <w:pPr>
        <w:pStyle w:val="ListBullet"/>
      </w:pPr>
      <w:r>
        <w:t>最新收盘价：$1096.16</w:t>
      </w:r>
    </w:p>
    <w:p>
      <w:pPr>
        <w:pStyle w:val="ListBullet"/>
      </w:pPr>
      <w:r>
        <w:t>BOLL：上轨 $1064.88；中轨 $972.75；下轨 $880.62</w:t>
      </w:r>
    </w:p>
    <w:p>
      <w:pPr>
        <w:pStyle w:val="ListBullet"/>
      </w:pPr>
      <w:r>
        <w:t>Bandwidth：18.94%；历史分位：21.43%；%B：1.170</w:t>
      </w:r>
    </w:p>
    <w:p>
      <w:pPr>
        <w:pStyle w:val="ListBullet"/>
      </w:pPr>
      <w:r>
        <w:t>成交量：当日 29189700；20日均量 25112375；量比 1.16</w:t>
      </w:r>
    </w:p>
    <w:p>
      <w:pPr>
        <w:pStyle w:val="ListBullet"/>
      </w:pPr>
      <w:r>
        <w:t>触发信号：突破上轨但量能不足-弱；连续2日站上上轨</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风险提示：突破上轨但成交量不足，存在假突破风险。；股价明显高于上轨，短线可能过热，需防回踩。</w:t>
      </w:r>
    </w:p>
    <w:p>
      <w:pPr>
        <w:pStyle w:val="Heading3"/>
      </w:pPr>
      <w:r>
        <w:t>ONDS - Ondas Holdings</w:t>
      </w:r>
    </w:p>
    <w:p>
      <w:pPr>
        <w:pStyle w:val="ListBullet"/>
      </w:pPr>
      <w:r>
        <w:t>信号等级：C 观察信号</w:t>
      </w:r>
    </w:p>
    <w:p>
      <w:pPr>
        <w:pStyle w:val="ListBullet"/>
      </w:pPr>
      <w:r>
        <w:t>最新收盘价：$7.72</w:t>
      </w:r>
    </w:p>
    <w:p>
      <w:pPr>
        <w:pStyle w:val="ListBullet"/>
      </w:pPr>
      <w:r>
        <w:t>BOLL：上轨 $8.41；中轨 $7.58；下轨 $6.75</w:t>
      </w:r>
    </w:p>
    <w:p>
      <w:pPr>
        <w:pStyle w:val="ListBullet"/>
      </w:pPr>
      <w:r>
        <w:t>Bandwidth：21.92%；历史分位：8.33%；%B：0.584</w:t>
      </w:r>
    </w:p>
    <w:p>
      <w:pPr>
        <w:pStyle w:val="ListBullet"/>
      </w:pPr>
      <w:r>
        <w:t>成交量：当日 70109500；20日均量 60943600；量比 1.15</w:t>
      </w:r>
    </w:p>
    <w:p>
      <w:pPr>
        <w:pStyle w:val="ListBullet"/>
      </w:pPr>
      <w:r>
        <w:t>触发信号：弱收口：Bandwidth低于近8个月30%分位且最近8个交易日及以上连续下降；中轨附近窄幅震荡；低位形态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INTC - Intel</w:t>
      </w:r>
    </w:p>
    <w:p>
      <w:pPr>
        <w:pStyle w:val="ListBullet"/>
      </w:pPr>
      <w:r>
        <w:t>信号等级：C 观察信号</w:t>
      </w:r>
    </w:p>
    <w:p>
      <w:pPr>
        <w:pStyle w:val="ListBullet"/>
      </w:pPr>
      <w:r>
        <w:t>最新收盘价：$123.86</w:t>
      </w:r>
    </w:p>
    <w:p>
      <w:pPr>
        <w:pStyle w:val="ListBullet"/>
      </w:pPr>
      <w:r>
        <w:t>BOLL：上轨 $120.05；中轨 $99.28；下轨 $78.52</w:t>
      </w:r>
    </w:p>
    <w:p>
      <w:pPr>
        <w:pStyle w:val="ListBullet"/>
      </w:pPr>
      <w:r>
        <w:t>Bandwidth：41.83%；历史分位：71.43%；%B：1.092</w:t>
      </w:r>
    </w:p>
    <w:p>
      <w:pPr>
        <w:pStyle w:val="ListBullet"/>
      </w:pPr>
      <w:r>
        <w:t>成交量：当日 108379400；20日均量 103489210；量比 1.05</w:t>
      </w:r>
    </w:p>
    <w:p>
      <w:pPr>
        <w:pStyle w:val="ListBullet"/>
      </w:pPr>
      <w:r>
        <w:t>触发信号：突破上轨但量能不足-弱；连续2日站上上轨</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w:t>
      </w:r>
    </w:p>
    <w:p>
      <w:pPr>
        <w:pStyle w:val="Heading3"/>
      </w:pPr>
      <w:r>
        <w:t>MSFT - Microsoft Corporation</w:t>
      </w:r>
    </w:p>
    <w:p>
      <w:pPr>
        <w:pStyle w:val="ListBullet"/>
      </w:pPr>
      <w:r>
        <w:t>信号等级：C 观察信号</w:t>
      </w:r>
    </w:p>
    <w:p>
      <w:pPr>
        <w:pStyle w:val="ListBullet"/>
      </w:pPr>
      <w:r>
        <w:t>最新收盘价：$498.00</w:t>
      </w:r>
    </w:p>
    <w:p>
      <w:pPr>
        <w:pStyle w:val="ListBullet"/>
      </w:pPr>
      <w:r>
        <w:t>BOLL：上轨 $511.62；中轨 $498.96；下轨 $486.31</w:t>
      </w:r>
    </w:p>
    <w:p>
      <w:pPr>
        <w:pStyle w:val="ListBullet"/>
      </w:pPr>
      <w:r>
        <w:t>Bandwidth：5.07%；历史分位：0.60%；%B：0.462</w:t>
      </w:r>
    </w:p>
    <w:p>
      <w:pPr>
        <w:pStyle w:val="ListBullet"/>
      </w:pPr>
      <w:r>
        <w:t>成交量：当日 21652800；20日均量 21547410；量比 1.00</w:t>
      </w:r>
    </w:p>
    <w:p>
      <w:pPr>
        <w:pStyle w:val="ListBullet"/>
      </w:pPr>
      <w:r>
        <w:t>触发信号：强收口：Bandwidth创近100日新低；中轨附近窄幅震荡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ORCL - Oracle</w:t>
      </w:r>
    </w:p>
    <w:p>
      <w:pPr>
        <w:pStyle w:val="ListBullet"/>
      </w:pPr>
      <w:r>
        <w:t>信号等级：C 观察信号</w:t>
      </w:r>
    </w:p>
    <w:p>
      <w:pPr>
        <w:pStyle w:val="ListBullet"/>
      </w:pPr>
      <w:r>
        <w:t>最新收盘价：$149.20</w:t>
      </w:r>
    </w:p>
    <w:p>
      <w:pPr>
        <w:pStyle w:val="ListBullet"/>
      </w:pPr>
      <w:r>
        <w:t>BOLL：上轨 $161.66；中轨 $149.85；下轨 $138.05</w:t>
      </w:r>
    </w:p>
    <w:p>
      <w:pPr>
        <w:pStyle w:val="ListBullet"/>
      </w:pPr>
      <w:r>
        <w:t>Bandwidth：15.76%；历史分位：15.48%；%B：0.472</w:t>
      </w:r>
    </w:p>
    <w:p>
      <w:pPr>
        <w:pStyle w:val="ListBullet"/>
      </w:pPr>
      <w:r>
        <w:t>成交量：当日 31260000；20日均量 31305195；量比 1.00</w:t>
      </w:r>
    </w:p>
    <w:p>
      <w:pPr>
        <w:pStyle w:val="ListBullet"/>
      </w:pPr>
      <w:r>
        <w:t>触发信号：弱收口：Bandwidth连续18天维持低于近8个月30%分位；中轨附近窄幅震荡；低位形态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CBRS - Chain Bridge Bancorp</w:t>
      </w:r>
    </w:p>
    <w:p>
      <w:pPr>
        <w:pStyle w:val="ListBullet"/>
      </w:pPr>
      <w:r>
        <w:t>信号等级：C 观察信号</w:t>
      </w:r>
    </w:p>
    <w:p>
      <w:pPr>
        <w:pStyle w:val="ListBullet"/>
      </w:pPr>
      <w:r>
        <w:t>最新收盘价：$212.41</w:t>
      </w:r>
    </w:p>
    <w:p>
      <w:pPr>
        <w:pStyle w:val="ListBullet"/>
      </w:pPr>
      <w:r>
        <w:t>BOLL：上轨 $211.87；中轨 $191.10；下轨 $170.34</w:t>
      </w:r>
    </w:p>
    <w:p>
      <w:pPr>
        <w:pStyle w:val="ListBullet"/>
      </w:pPr>
      <w:r>
        <w:t>Bandwidth：21.73%；历史分位：5.63%；%B：1.013</w:t>
      </w:r>
    </w:p>
    <w:p>
      <w:pPr>
        <w:pStyle w:val="ListBullet"/>
      </w:pPr>
      <w:r>
        <w:t>成交量：当日 6073400；20日均量 6198040；量比 0.98</w:t>
      </w:r>
    </w:p>
    <w:p>
      <w:pPr>
        <w:pStyle w:val="ListBullet"/>
      </w:pPr>
      <w:r>
        <w:t>触发信号：突破上轨但量能不足-弱；连续2日站上上轨</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w:t>
      </w:r>
    </w:p>
    <w:p>
      <w:pPr>
        <w:pStyle w:val="Heading3"/>
      </w:pPr>
      <w:r>
        <w:t>QBTS - D-Wave Quantum</w:t>
      </w:r>
    </w:p>
    <w:p>
      <w:pPr>
        <w:pStyle w:val="ListBullet"/>
      </w:pPr>
      <w:r>
        <w:t>信号等级：C 观察信号</w:t>
      </w:r>
    </w:p>
    <w:p>
      <w:pPr>
        <w:pStyle w:val="ListBullet"/>
      </w:pPr>
      <w:r>
        <w:t>最新收盘价：$17.56</w:t>
      </w:r>
    </w:p>
    <w:p>
      <w:pPr>
        <w:pStyle w:val="ListBullet"/>
      </w:pPr>
      <w:r>
        <w:t>BOLL：上轨 $18.55；中轨 $17.16；下轨 $15.77</w:t>
      </w:r>
    </w:p>
    <w:p>
      <w:pPr>
        <w:pStyle w:val="ListBullet"/>
      </w:pPr>
      <w:r>
        <w:t>Bandwidth：16.17%；历史分位：4.17%；%B：0.644</w:t>
      </w:r>
    </w:p>
    <w:p>
      <w:pPr>
        <w:pStyle w:val="ListBullet"/>
      </w:pPr>
      <w:r>
        <w:t>成交量：当日 14479300；20日均量 16045560；量比 0.90</w:t>
      </w:r>
    </w:p>
    <w:p>
      <w:pPr>
        <w:pStyle w:val="ListBullet"/>
      </w:pPr>
      <w:r>
        <w:t>触发信号：强收口：Bandwidth创近100日新低；中轨附近窄幅震荡；低位形态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MRVL - Marvell Technology</w:t>
      </w:r>
    </w:p>
    <w:p>
      <w:pPr>
        <w:pStyle w:val="ListBullet"/>
      </w:pPr>
      <w:r>
        <w:t>信号等级：C 观察信号</w:t>
      </w:r>
    </w:p>
    <w:p>
      <w:pPr>
        <w:pStyle w:val="ListBullet"/>
      </w:pPr>
      <w:r>
        <w:t>最新收盘价：$262.36</w:t>
      </w:r>
    </w:p>
    <w:p>
      <w:pPr>
        <w:pStyle w:val="ListBullet"/>
      </w:pPr>
      <w:r>
        <w:t>BOLL：上轨 $261.17；中轨 $230.15；下轨 $199.12</w:t>
      </w:r>
    </w:p>
    <w:p>
      <w:pPr>
        <w:pStyle w:val="ListBullet"/>
      </w:pPr>
      <w:r>
        <w:t>Bandwidth：26.96%；历史分位：42.26%；%B：1.019</w:t>
      </w:r>
    </w:p>
    <w:p>
      <w:pPr>
        <w:pStyle w:val="ListBullet"/>
      </w:pPr>
      <w:r>
        <w:t>成交量：当日 19926600；20日均量 22089235；量比 0.90</w:t>
      </w:r>
    </w:p>
    <w:p>
      <w:pPr>
        <w:pStyle w:val="ListBullet"/>
      </w:pPr>
      <w:r>
        <w:t>触发信号：突破上轨但量能不足-弱；连续2日站上上轨</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w:t>
      </w:r>
    </w:p>
    <w:p>
      <w:pPr>
        <w:pStyle w:val="Heading3"/>
      </w:pPr>
      <w:r>
        <w:t>MANE - Veradermics, Incorporated</w:t>
      </w:r>
    </w:p>
    <w:p>
      <w:pPr>
        <w:pStyle w:val="ListBullet"/>
      </w:pPr>
      <w:r>
        <w:t>信号等级：C 观察信号</w:t>
      </w:r>
    </w:p>
    <w:p>
      <w:pPr>
        <w:pStyle w:val="ListBullet"/>
      </w:pPr>
      <w:r>
        <w:t>最新收盘价：$112.80</w:t>
      </w:r>
    </w:p>
    <w:p>
      <w:pPr>
        <w:pStyle w:val="ListBullet"/>
      </w:pPr>
      <w:r>
        <w:t>BOLL：上轨 $109.57；中轨 $101.54；下轨 $93.52</w:t>
      </w:r>
    </w:p>
    <w:p>
      <w:pPr>
        <w:pStyle w:val="ListBullet"/>
      </w:pPr>
      <w:r>
        <w:t>Bandwidth：15.81%；历史分位：18.71%；%B：1.201</w:t>
      </w:r>
    </w:p>
    <w:p>
      <w:pPr>
        <w:pStyle w:val="ListBullet"/>
      </w:pPr>
      <w:r>
        <w:t>成交量：当日 583600；20日均量 665230；量比 0.88</w:t>
      </w:r>
    </w:p>
    <w:p>
      <w:pPr>
        <w:pStyle w:val="ListBullet"/>
      </w:pPr>
      <w:r>
        <w:t>触发信号：突破上轨但量能不足-弱</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风险提示：突破上轨但成交量不足，存在假突破风险。；股价明显高于上轨，短线可能过热，需防回踩。；尚未连续两日站上上轨，需要下一交易日确认。</w:t>
      </w:r>
    </w:p>
    <w:p>
      <w:pPr>
        <w:pStyle w:val="Heading3"/>
      </w:pPr>
      <w:r>
        <w:t>QCOM - QUALCOMM Incorporated</w:t>
      </w:r>
    </w:p>
    <w:p>
      <w:pPr>
        <w:pStyle w:val="ListBullet"/>
      </w:pPr>
      <w:r>
        <w:t>信号等级：C 观察信号</w:t>
      </w:r>
    </w:p>
    <w:p>
      <w:pPr>
        <w:pStyle w:val="ListBullet"/>
      </w:pPr>
      <w:r>
        <w:t>最新收盘价：$198.27</w:t>
      </w:r>
    </w:p>
    <w:p>
      <w:pPr>
        <w:pStyle w:val="ListBullet"/>
      </w:pPr>
      <w:r>
        <w:t>BOLL：上轨 $196.84；中轨 $175.93；下轨 $155.03</w:t>
      </w:r>
    </w:p>
    <w:p>
      <w:pPr>
        <w:pStyle w:val="ListBullet"/>
      </w:pPr>
      <w:r>
        <w:t>Bandwidth：23.76%；历史分位：58.93%；%B：1.034</w:t>
      </w:r>
    </w:p>
    <w:p>
      <w:pPr>
        <w:pStyle w:val="ListBullet"/>
      </w:pPr>
      <w:r>
        <w:t>成交量：当日 11533800；20日均量 14580525；量比 0.79</w:t>
      </w:r>
    </w:p>
    <w:p>
      <w:pPr>
        <w:pStyle w:val="ListBullet"/>
      </w:pPr>
      <w:r>
        <w:t>触发信号：突破上轨但量能不足-弱；连续2日站上上轨</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w:t>
      </w:r>
    </w:p>
    <w:p>
      <w:pPr>
        <w:pStyle w:val="Heading3"/>
      </w:pPr>
      <w:r>
        <w:t>CRCL - Circle Internet Group</w:t>
      </w:r>
    </w:p>
    <w:p>
      <w:pPr>
        <w:pStyle w:val="ListBullet"/>
      </w:pPr>
      <w:r>
        <w:t>信号等级：C 观察信号</w:t>
      </w:r>
    </w:p>
    <w:p>
      <w:pPr>
        <w:pStyle w:val="ListBullet"/>
      </w:pPr>
      <w:r>
        <w:t>最新收盘价：$94.59</w:t>
      </w:r>
    </w:p>
    <w:p>
      <w:pPr>
        <w:pStyle w:val="ListBullet"/>
      </w:pPr>
      <w:r>
        <w:t>BOLL：上轨 $102.79；中轨 $92.12；下轨 $81.45</w:t>
      </w:r>
    </w:p>
    <w:p>
      <w:pPr>
        <w:pStyle w:val="ListBullet"/>
      </w:pPr>
      <w:r>
        <w:t>Bandwidth：23.17%；历史分位：9.52%；%B：0.616</w:t>
      </w:r>
    </w:p>
    <w:p>
      <w:pPr>
        <w:pStyle w:val="ListBullet"/>
      </w:pPr>
      <w:r>
        <w:t>成交量：当日 12448000；20日均量 16200995；量比 0.77</w:t>
      </w:r>
    </w:p>
    <w:p>
      <w:pPr>
        <w:pStyle w:val="ListBullet"/>
      </w:pPr>
      <w:r>
        <w:t>触发信号：弱收口：Bandwidth低于近8个月30%分位且最近8个交易日及以上连续下降；中轨附近窄幅震荡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AVGO - Broadcom Inc.</w:t>
      </w:r>
    </w:p>
    <w:p>
      <w:pPr>
        <w:pStyle w:val="ListBullet"/>
      </w:pPr>
      <w:r>
        <w:t>信号等级：C 观察信号</w:t>
      </w:r>
    </w:p>
    <w:p>
      <w:pPr>
        <w:pStyle w:val="ListBullet"/>
      </w:pPr>
      <w:r>
        <w:t>最新收盘价：$364.54</w:t>
      </w:r>
    </w:p>
    <w:p>
      <w:pPr>
        <w:pStyle w:val="ListBullet"/>
      </w:pPr>
      <w:r>
        <w:t>BOLL：上轨 $378.66；中轨 $359.32；下轨 $339.97</w:t>
      </w:r>
    </w:p>
    <w:p>
      <w:pPr>
        <w:pStyle w:val="ListBullet"/>
      </w:pPr>
      <w:r>
        <w:t>Bandwidth：10.77%；历史分位：19.05%；%B：0.635</w:t>
      </w:r>
    </w:p>
    <w:p>
      <w:pPr>
        <w:pStyle w:val="ListBullet"/>
      </w:pPr>
      <w:r>
        <w:t>成交量：当日 20570800；20日均量 27299500；量比 0.75</w:t>
      </w:r>
    </w:p>
    <w:p>
      <w:pPr>
        <w:pStyle w:val="ListBullet"/>
      </w:pPr>
      <w:r>
        <w:t>触发信号：弱收口：Bandwidth连续8天维持低于近8个月30%分位；中轨附近窄幅震荡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OKLO - Oklo</w:t>
      </w:r>
    </w:p>
    <w:p>
      <w:pPr>
        <w:pStyle w:val="ListBullet"/>
      </w:pPr>
      <w:r>
        <w:t>信号等级：C 观察信号</w:t>
      </w:r>
    </w:p>
    <w:p>
      <w:pPr>
        <w:pStyle w:val="ListBullet"/>
      </w:pPr>
      <w:r>
        <w:t>最新收盘价：$40.45</w:t>
      </w:r>
    </w:p>
    <w:p>
      <w:pPr>
        <w:pStyle w:val="ListBullet"/>
      </w:pPr>
      <w:r>
        <w:t>BOLL：上轨 $44.65；中轨 $39.82；下轨 $34.98</w:t>
      </w:r>
    </w:p>
    <w:p>
      <w:pPr>
        <w:pStyle w:val="ListBullet"/>
      </w:pPr>
      <w:r>
        <w:t>Bandwidth：24.28%；历史分位：17.86%；%B：0.565</w:t>
      </w:r>
    </w:p>
    <w:p>
      <w:pPr>
        <w:pStyle w:val="ListBullet"/>
      </w:pPr>
      <w:r>
        <w:t>成交量：当日 8240500；20日均量 11123440；量比 0.74</w:t>
      </w:r>
    </w:p>
    <w:p>
      <w:pPr>
        <w:pStyle w:val="ListBullet"/>
      </w:pPr>
      <w:r>
        <w:t>触发信号：弱收口：Bandwidth连续20天维持低于近8个月30%分位；中轨附近窄幅震荡；低位形态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2"/>
      </w:pPr>
      <w:r>
        <w:t>四、数据异常或无法判断</w:t>
      </w:r>
    </w:p>
    <w:p>
      <w:r>
        <w:t>未发现数据异常或无法判断的股票。</w:t>
      </w:r>
    </w:p>
    <w:p>
      <w:pPr>
        <w:pStyle w:val="Heading2"/>
      </w:pPr>
      <w:r>
        <w:t>五、无明显 BOLL 信号</w:t>
      </w:r>
    </w:p>
    <w:p>
      <w:r>
        <w:t>XE（X-energy）, NBIS（Nebius Group）, GLW（Corning）, COHR（Coherent）, LITE（Lumentum Holdings）, FLNC（Fluence Energy）, CRWV（CoreWeave）, NVTS（Navitas Semiconductor）, POET（POET Technologies）, DELL（Dell Technologies）, SMR（NuScale Power）, IONQ（IonQ）, NVDA（NVIDIA）, FLY（Firefly Aerospace）, CIEN（Ciena）, SIVEF（Sivers Semiconductors）, SHAZ（Shaz）, LUNR（Intuitive Machines）, ASTS（AST SpaceMobile）, SPCX（Space Exploration Technologies）, RDW（Redwire Corporation）, COIN（Coinbase Global, Inc.）, CORZ（Core Scientific, Inc.）, IREN（IREN LIMITED）, VELO（Velo3D, Inc.）, GOOG（Alphabet Inc.）, AMAT（Applied Materials, Inc.）, AMKR（Amkor Technology, Inc.）, LRCX（Lam Research Corporation）, NNE（Nano Nuclear Energy Inc.）, CCJ（Cameco Corporation）, BWAY（Brainsway Ltd.）, QSI（Quantum-Si Incorporated）</w:t>
      </w:r>
    </w:p>
    <w:p>
      <w:r>
        <w:br w:type="page"/>
      </w:r>
    </w:p>
    <w:p>
      <w:pPr>
        <w:pStyle w:val="Heading2"/>
      </w:pPr>
      <w:r>
        <w:t>六、触发股票 BOLL 图表</w:t>
      </w:r>
    </w:p>
    <w:p>
      <w:pPr>
        <w:pStyle w:val="Heading3"/>
      </w:pPr>
      <w:r>
        <w:t>INOD - Innodata</w:t>
      </w:r>
    </w:p>
    <w:p>
      <w:r>
        <w:drawing>
          <wp:inline xmlns:a="http://schemas.openxmlformats.org/drawingml/2006/main" xmlns:pic="http://schemas.openxmlformats.org/drawingml/2006/picture">
            <wp:extent cx="6035040" cy="4054793"/>
            <wp:docPr id="1" name="Picture 1"/>
            <wp:cNvGraphicFramePr>
              <a:graphicFrameLocks noChangeAspect="1"/>
            </wp:cNvGraphicFramePr>
            <a:graphic>
              <a:graphicData uri="http://schemas.openxmlformats.org/drawingml/2006/picture">
                <pic:pic>
                  <pic:nvPicPr>
                    <pic:cNvPr id="0" name="INOD_BOLL.png"/>
                    <pic:cNvPicPr/>
                  </pic:nvPicPr>
                  <pic:blipFill>
                    <a:blip r:embed="rId9"/>
                    <a:stretch>
                      <a:fillRect/>
                    </a:stretch>
                  </pic:blipFill>
                  <pic:spPr>
                    <a:xfrm>
                      <a:off x="0" y="0"/>
                      <a:ext cx="6035040" cy="4054793"/>
                    </a:xfrm>
                    <a:prstGeom prst="rect"/>
                  </pic:spPr>
                </pic:pic>
              </a:graphicData>
            </a:graphic>
          </wp:inline>
        </w:drawing>
      </w:r>
    </w:p>
    <w:p>
      <w:pPr>
        <w:pStyle w:val="Heading3"/>
      </w:pPr>
      <w:r>
        <w:t>BB - BlackBerry</w:t>
      </w:r>
    </w:p>
    <w:p>
      <w:r>
        <w:drawing>
          <wp:inline xmlns:a="http://schemas.openxmlformats.org/drawingml/2006/main" xmlns:pic="http://schemas.openxmlformats.org/drawingml/2006/picture">
            <wp:extent cx="6035040" cy="4054793"/>
            <wp:docPr id="2" name="Picture 2"/>
            <wp:cNvGraphicFramePr>
              <a:graphicFrameLocks noChangeAspect="1"/>
            </wp:cNvGraphicFramePr>
            <a:graphic>
              <a:graphicData uri="http://schemas.openxmlformats.org/drawingml/2006/picture">
                <pic:pic>
                  <pic:nvPicPr>
                    <pic:cNvPr id="0" name="BB_BOLL.png"/>
                    <pic:cNvPicPr/>
                  </pic:nvPicPr>
                  <pic:blipFill>
                    <a:blip r:embed="rId10"/>
                    <a:stretch>
                      <a:fillRect/>
                    </a:stretch>
                  </pic:blipFill>
                  <pic:spPr>
                    <a:xfrm>
                      <a:off x="0" y="0"/>
                      <a:ext cx="6035040" cy="4054793"/>
                    </a:xfrm>
                    <a:prstGeom prst="rect"/>
                  </pic:spPr>
                </pic:pic>
              </a:graphicData>
            </a:graphic>
          </wp:inline>
        </w:drawing>
      </w:r>
    </w:p>
    <w:p>
      <w:pPr>
        <w:pStyle w:val="Heading3"/>
      </w:pPr>
      <w:r>
        <w:t>IBRX - ImmunityBio, Inc.</w:t>
      </w:r>
    </w:p>
    <w:p>
      <w:r>
        <w:drawing>
          <wp:inline xmlns:a="http://schemas.openxmlformats.org/drawingml/2006/main" xmlns:pic="http://schemas.openxmlformats.org/drawingml/2006/picture">
            <wp:extent cx="6035040" cy="4054793"/>
            <wp:docPr id="3" name="Picture 3"/>
            <wp:cNvGraphicFramePr>
              <a:graphicFrameLocks noChangeAspect="1"/>
            </wp:cNvGraphicFramePr>
            <a:graphic>
              <a:graphicData uri="http://schemas.openxmlformats.org/drawingml/2006/picture">
                <pic:pic>
                  <pic:nvPicPr>
                    <pic:cNvPr id="0" name="IBRX_BOLL.png"/>
                    <pic:cNvPicPr/>
                  </pic:nvPicPr>
                  <pic:blipFill>
                    <a:blip r:embed="rId11"/>
                    <a:stretch>
                      <a:fillRect/>
                    </a:stretch>
                  </pic:blipFill>
                  <pic:spPr>
                    <a:xfrm>
                      <a:off x="0" y="0"/>
                      <a:ext cx="6035040" cy="4054793"/>
                    </a:xfrm>
                    <a:prstGeom prst="rect"/>
                  </pic:spPr>
                </pic:pic>
              </a:graphicData>
            </a:graphic>
          </wp:inline>
        </w:drawing>
      </w:r>
    </w:p>
    <w:p>
      <w:pPr>
        <w:pStyle w:val="Heading3"/>
      </w:pPr>
      <w:r>
        <w:t>ARM - Arm Holdings</w:t>
      </w:r>
    </w:p>
    <w:p>
      <w:r>
        <w:drawing>
          <wp:inline xmlns:a="http://schemas.openxmlformats.org/drawingml/2006/main" xmlns:pic="http://schemas.openxmlformats.org/drawingml/2006/picture">
            <wp:extent cx="6035040" cy="4054793"/>
            <wp:docPr id="4" name="Picture 4"/>
            <wp:cNvGraphicFramePr>
              <a:graphicFrameLocks noChangeAspect="1"/>
            </wp:cNvGraphicFramePr>
            <a:graphic>
              <a:graphicData uri="http://schemas.openxmlformats.org/drawingml/2006/picture">
                <pic:pic>
                  <pic:nvPicPr>
                    <pic:cNvPr id="0" name="ARM_BOLL.png"/>
                    <pic:cNvPicPr/>
                  </pic:nvPicPr>
                  <pic:blipFill>
                    <a:blip r:embed="rId12"/>
                    <a:stretch>
                      <a:fillRect/>
                    </a:stretch>
                  </pic:blipFill>
                  <pic:spPr>
                    <a:xfrm>
                      <a:off x="0" y="0"/>
                      <a:ext cx="6035040" cy="4054793"/>
                    </a:xfrm>
                    <a:prstGeom prst="rect"/>
                  </pic:spPr>
                </pic:pic>
              </a:graphicData>
            </a:graphic>
          </wp:inline>
        </w:drawing>
      </w:r>
    </w:p>
    <w:p>
      <w:pPr>
        <w:pStyle w:val="Heading3"/>
      </w:pPr>
      <w:r>
        <w:t>ALAB - Astera Labs</w:t>
      </w:r>
    </w:p>
    <w:p>
      <w:r>
        <w:drawing>
          <wp:inline xmlns:a="http://schemas.openxmlformats.org/drawingml/2006/main" xmlns:pic="http://schemas.openxmlformats.org/drawingml/2006/picture">
            <wp:extent cx="6035040" cy="4054793"/>
            <wp:docPr id="5" name="Picture 5"/>
            <wp:cNvGraphicFramePr>
              <a:graphicFrameLocks noChangeAspect="1"/>
            </wp:cNvGraphicFramePr>
            <a:graphic>
              <a:graphicData uri="http://schemas.openxmlformats.org/drawingml/2006/picture">
                <pic:pic>
                  <pic:nvPicPr>
                    <pic:cNvPr id="0" name="ALAB_BOLL.png"/>
                    <pic:cNvPicPr/>
                  </pic:nvPicPr>
                  <pic:blipFill>
                    <a:blip r:embed="rId13"/>
                    <a:stretch>
                      <a:fillRect/>
                    </a:stretch>
                  </pic:blipFill>
                  <pic:spPr>
                    <a:xfrm>
                      <a:off x="0" y="0"/>
                      <a:ext cx="6035040" cy="4054793"/>
                    </a:xfrm>
                    <a:prstGeom prst="rect"/>
                  </pic:spPr>
                </pic:pic>
              </a:graphicData>
            </a:graphic>
          </wp:inline>
        </w:drawing>
      </w:r>
    </w:p>
    <w:p>
      <w:pPr>
        <w:pStyle w:val="Heading3"/>
      </w:pPr>
      <w:r>
        <w:t>VICR - Vicor Corporation</w:t>
      </w:r>
    </w:p>
    <w:p>
      <w:r>
        <w:drawing>
          <wp:inline xmlns:a="http://schemas.openxmlformats.org/drawingml/2006/main" xmlns:pic="http://schemas.openxmlformats.org/drawingml/2006/picture">
            <wp:extent cx="6035040" cy="4054793"/>
            <wp:docPr id="6" name="Picture 6"/>
            <wp:cNvGraphicFramePr>
              <a:graphicFrameLocks noChangeAspect="1"/>
            </wp:cNvGraphicFramePr>
            <a:graphic>
              <a:graphicData uri="http://schemas.openxmlformats.org/drawingml/2006/picture">
                <pic:pic>
                  <pic:nvPicPr>
                    <pic:cNvPr id="0" name="VICR_BOLL.png"/>
                    <pic:cNvPicPr/>
                  </pic:nvPicPr>
                  <pic:blipFill>
                    <a:blip r:embed="rId14"/>
                    <a:stretch>
                      <a:fillRect/>
                    </a:stretch>
                  </pic:blipFill>
                  <pic:spPr>
                    <a:xfrm>
                      <a:off x="0" y="0"/>
                      <a:ext cx="6035040" cy="4054793"/>
                    </a:xfrm>
                    <a:prstGeom prst="rect"/>
                  </pic:spPr>
                </pic:pic>
              </a:graphicData>
            </a:graphic>
          </wp:inline>
        </w:drawing>
      </w:r>
    </w:p>
    <w:p>
      <w:pPr>
        <w:pStyle w:val="Heading3"/>
      </w:pPr>
      <w:r>
        <w:t>AMD - Advanced Micro Devices</w:t>
      </w:r>
    </w:p>
    <w:p>
      <w:r>
        <w:drawing>
          <wp:inline xmlns:a="http://schemas.openxmlformats.org/drawingml/2006/main" xmlns:pic="http://schemas.openxmlformats.org/drawingml/2006/picture">
            <wp:extent cx="6035040" cy="4054793"/>
            <wp:docPr id="7" name="Picture 7"/>
            <wp:cNvGraphicFramePr>
              <a:graphicFrameLocks noChangeAspect="1"/>
            </wp:cNvGraphicFramePr>
            <a:graphic>
              <a:graphicData uri="http://schemas.openxmlformats.org/drawingml/2006/picture">
                <pic:pic>
                  <pic:nvPicPr>
                    <pic:cNvPr id="0" name="AMD_BOLL.png"/>
                    <pic:cNvPicPr/>
                  </pic:nvPicPr>
                  <pic:blipFill>
                    <a:blip r:embed="rId15"/>
                    <a:stretch>
                      <a:fillRect/>
                    </a:stretch>
                  </pic:blipFill>
                  <pic:spPr>
                    <a:xfrm>
                      <a:off x="0" y="0"/>
                      <a:ext cx="6035040" cy="4054793"/>
                    </a:xfrm>
                    <a:prstGeom prst="rect"/>
                  </pic:spPr>
                </pic:pic>
              </a:graphicData>
            </a:graphic>
          </wp:inline>
        </w:drawing>
      </w:r>
    </w:p>
    <w:p>
      <w:pPr>
        <w:pStyle w:val="Heading3"/>
      </w:pPr>
      <w:r>
        <w:t>OPTX - Syntec Optics Holdings</w:t>
      </w:r>
    </w:p>
    <w:p>
      <w:r>
        <w:drawing>
          <wp:inline xmlns:a="http://schemas.openxmlformats.org/drawingml/2006/main" xmlns:pic="http://schemas.openxmlformats.org/drawingml/2006/picture">
            <wp:extent cx="6035040" cy="4054793"/>
            <wp:docPr id="8" name="Picture 8"/>
            <wp:cNvGraphicFramePr>
              <a:graphicFrameLocks noChangeAspect="1"/>
            </wp:cNvGraphicFramePr>
            <a:graphic>
              <a:graphicData uri="http://schemas.openxmlformats.org/drawingml/2006/picture">
                <pic:pic>
                  <pic:nvPicPr>
                    <pic:cNvPr id="0" name="OPTX_BOLL.png"/>
                    <pic:cNvPicPr/>
                  </pic:nvPicPr>
                  <pic:blipFill>
                    <a:blip r:embed="rId16"/>
                    <a:stretch>
                      <a:fillRect/>
                    </a:stretch>
                  </pic:blipFill>
                  <pic:spPr>
                    <a:xfrm>
                      <a:off x="0" y="0"/>
                      <a:ext cx="6035040" cy="4054793"/>
                    </a:xfrm>
                    <a:prstGeom prst="rect"/>
                  </pic:spPr>
                </pic:pic>
              </a:graphicData>
            </a:graphic>
          </wp:inline>
        </w:drawing>
      </w:r>
    </w:p>
    <w:p>
      <w:pPr>
        <w:pStyle w:val="Heading3"/>
      </w:pPr>
      <w:r>
        <w:t>INSP - Inspire Medical Systems, Inc.</w:t>
      </w:r>
    </w:p>
    <w:p>
      <w:r>
        <w:drawing>
          <wp:inline xmlns:a="http://schemas.openxmlformats.org/drawingml/2006/main" xmlns:pic="http://schemas.openxmlformats.org/drawingml/2006/picture">
            <wp:extent cx="6035040" cy="4054793"/>
            <wp:docPr id="9" name="Picture 9"/>
            <wp:cNvGraphicFramePr>
              <a:graphicFrameLocks noChangeAspect="1"/>
            </wp:cNvGraphicFramePr>
            <a:graphic>
              <a:graphicData uri="http://schemas.openxmlformats.org/drawingml/2006/picture">
                <pic:pic>
                  <pic:nvPicPr>
                    <pic:cNvPr id="0" name="INSP_BOLL.png"/>
                    <pic:cNvPicPr/>
                  </pic:nvPicPr>
                  <pic:blipFill>
                    <a:blip r:embed="rId17"/>
                    <a:stretch>
                      <a:fillRect/>
                    </a:stretch>
                  </pic:blipFill>
                  <pic:spPr>
                    <a:xfrm>
                      <a:off x="0" y="0"/>
                      <a:ext cx="6035040" cy="4054793"/>
                    </a:xfrm>
                    <a:prstGeom prst="rect"/>
                  </pic:spPr>
                </pic:pic>
              </a:graphicData>
            </a:graphic>
          </wp:inline>
        </w:drawing>
      </w:r>
    </w:p>
    <w:p>
      <w:pPr>
        <w:pStyle w:val="Heading3"/>
      </w:pPr>
      <w:r>
        <w:t>NOK - Nokia Oyj</w:t>
      </w:r>
    </w:p>
    <w:p>
      <w:r>
        <w:drawing>
          <wp:inline xmlns:a="http://schemas.openxmlformats.org/drawingml/2006/main" xmlns:pic="http://schemas.openxmlformats.org/drawingml/2006/picture">
            <wp:extent cx="6035040" cy="4054793"/>
            <wp:docPr id="10" name="Picture 10"/>
            <wp:cNvGraphicFramePr>
              <a:graphicFrameLocks noChangeAspect="1"/>
            </wp:cNvGraphicFramePr>
            <a:graphic>
              <a:graphicData uri="http://schemas.openxmlformats.org/drawingml/2006/picture">
                <pic:pic>
                  <pic:nvPicPr>
                    <pic:cNvPr id="0" name="NOK_BOLL.png"/>
                    <pic:cNvPicPr/>
                  </pic:nvPicPr>
                  <pic:blipFill>
                    <a:blip r:embed="rId18"/>
                    <a:stretch>
                      <a:fillRect/>
                    </a:stretch>
                  </pic:blipFill>
                  <pic:spPr>
                    <a:xfrm>
                      <a:off x="0" y="0"/>
                      <a:ext cx="6035040" cy="4054793"/>
                    </a:xfrm>
                    <a:prstGeom prst="rect"/>
                  </pic:spPr>
                </pic:pic>
              </a:graphicData>
            </a:graphic>
          </wp:inline>
        </w:drawing>
      </w:r>
    </w:p>
    <w:p>
      <w:pPr>
        <w:pStyle w:val="Heading3"/>
      </w:pPr>
      <w:r>
        <w:t>AMZN - Amazon.com</w:t>
      </w:r>
    </w:p>
    <w:p>
      <w:r>
        <w:drawing>
          <wp:inline xmlns:a="http://schemas.openxmlformats.org/drawingml/2006/main" xmlns:pic="http://schemas.openxmlformats.org/drawingml/2006/picture">
            <wp:extent cx="6035040" cy="4054793"/>
            <wp:docPr id="11" name="Picture 11"/>
            <wp:cNvGraphicFramePr>
              <a:graphicFrameLocks noChangeAspect="1"/>
            </wp:cNvGraphicFramePr>
            <a:graphic>
              <a:graphicData uri="http://schemas.openxmlformats.org/drawingml/2006/picture">
                <pic:pic>
                  <pic:nvPicPr>
                    <pic:cNvPr id="0" name="AMZN_BOLL.png"/>
                    <pic:cNvPicPr/>
                  </pic:nvPicPr>
                  <pic:blipFill>
                    <a:blip r:embed="rId19"/>
                    <a:stretch>
                      <a:fillRect/>
                    </a:stretch>
                  </pic:blipFill>
                  <pic:spPr>
                    <a:xfrm>
                      <a:off x="0" y="0"/>
                      <a:ext cx="6035040" cy="4054793"/>
                    </a:xfrm>
                    <a:prstGeom prst="rect"/>
                  </pic:spPr>
                </pic:pic>
              </a:graphicData>
            </a:graphic>
          </wp:inline>
        </w:drawing>
      </w:r>
    </w:p>
    <w:p>
      <w:pPr>
        <w:pStyle w:val="Heading3"/>
      </w:pPr>
      <w:r>
        <w:t>CRSP - CRISPR Therapeutics AG</w:t>
      </w:r>
    </w:p>
    <w:p>
      <w:r>
        <w:drawing>
          <wp:inline xmlns:a="http://schemas.openxmlformats.org/drawingml/2006/main" xmlns:pic="http://schemas.openxmlformats.org/drawingml/2006/picture">
            <wp:extent cx="6035040" cy="4054793"/>
            <wp:docPr id="12" name="Picture 12"/>
            <wp:cNvGraphicFramePr>
              <a:graphicFrameLocks noChangeAspect="1"/>
            </wp:cNvGraphicFramePr>
            <a:graphic>
              <a:graphicData uri="http://schemas.openxmlformats.org/drawingml/2006/picture">
                <pic:pic>
                  <pic:nvPicPr>
                    <pic:cNvPr id="0" name="CRSP_BOLL.png"/>
                    <pic:cNvPicPr/>
                  </pic:nvPicPr>
                  <pic:blipFill>
                    <a:blip r:embed="rId20"/>
                    <a:stretch>
                      <a:fillRect/>
                    </a:stretch>
                  </pic:blipFill>
                  <pic:spPr>
                    <a:xfrm>
                      <a:off x="0" y="0"/>
                      <a:ext cx="6035040" cy="4054793"/>
                    </a:xfrm>
                    <a:prstGeom prst="rect"/>
                  </pic:spPr>
                </pic:pic>
              </a:graphicData>
            </a:graphic>
          </wp:inline>
        </w:drawing>
      </w:r>
    </w:p>
    <w:p>
      <w:pPr>
        <w:pStyle w:val="Heading3"/>
      </w:pPr>
      <w:r>
        <w:t>AAOI - Applied Optoelectronics</w:t>
      </w:r>
    </w:p>
    <w:p>
      <w:r>
        <w:drawing>
          <wp:inline xmlns:a="http://schemas.openxmlformats.org/drawingml/2006/main" xmlns:pic="http://schemas.openxmlformats.org/drawingml/2006/picture">
            <wp:extent cx="6035040" cy="4054793"/>
            <wp:docPr id="13" name="Picture 13"/>
            <wp:cNvGraphicFramePr>
              <a:graphicFrameLocks noChangeAspect="1"/>
            </wp:cNvGraphicFramePr>
            <a:graphic>
              <a:graphicData uri="http://schemas.openxmlformats.org/drawingml/2006/picture">
                <pic:pic>
                  <pic:nvPicPr>
                    <pic:cNvPr id="0" name="AAOI_BOLL.png"/>
                    <pic:cNvPicPr/>
                  </pic:nvPicPr>
                  <pic:blipFill>
                    <a:blip r:embed="rId21"/>
                    <a:stretch>
                      <a:fillRect/>
                    </a:stretch>
                  </pic:blipFill>
                  <pic:spPr>
                    <a:xfrm>
                      <a:off x="0" y="0"/>
                      <a:ext cx="6035040" cy="4054793"/>
                    </a:xfrm>
                    <a:prstGeom prst="rect"/>
                  </pic:spPr>
                </pic:pic>
              </a:graphicData>
            </a:graphic>
          </wp:inline>
        </w:drawing>
      </w:r>
    </w:p>
    <w:p>
      <w:pPr>
        <w:pStyle w:val="Heading3"/>
      </w:pPr>
      <w:r>
        <w:t>SNDK - Sandisk Corporation</w:t>
      </w:r>
    </w:p>
    <w:p>
      <w:r>
        <w:drawing>
          <wp:inline xmlns:a="http://schemas.openxmlformats.org/drawingml/2006/main" xmlns:pic="http://schemas.openxmlformats.org/drawingml/2006/picture">
            <wp:extent cx="6035040" cy="4054793"/>
            <wp:docPr id="14" name="Picture 14"/>
            <wp:cNvGraphicFramePr>
              <a:graphicFrameLocks noChangeAspect="1"/>
            </wp:cNvGraphicFramePr>
            <a:graphic>
              <a:graphicData uri="http://schemas.openxmlformats.org/drawingml/2006/picture">
                <pic:pic>
                  <pic:nvPicPr>
                    <pic:cNvPr id="0" name="SNDK_BOLL.png"/>
                    <pic:cNvPicPr/>
                  </pic:nvPicPr>
                  <pic:blipFill>
                    <a:blip r:embed="rId22"/>
                    <a:stretch>
                      <a:fillRect/>
                    </a:stretch>
                  </pic:blipFill>
                  <pic:spPr>
                    <a:xfrm>
                      <a:off x="0" y="0"/>
                      <a:ext cx="6035040" cy="4054793"/>
                    </a:xfrm>
                    <a:prstGeom prst="rect"/>
                  </pic:spPr>
                </pic:pic>
              </a:graphicData>
            </a:graphic>
          </wp:inline>
        </w:drawing>
      </w:r>
    </w:p>
    <w:p>
      <w:pPr>
        <w:pStyle w:val="Heading3"/>
      </w:pPr>
      <w:r>
        <w:t>RKLB - Rocket Lab USA</w:t>
      </w:r>
    </w:p>
    <w:p>
      <w:r>
        <w:drawing>
          <wp:inline xmlns:a="http://schemas.openxmlformats.org/drawingml/2006/main" xmlns:pic="http://schemas.openxmlformats.org/drawingml/2006/picture">
            <wp:extent cx="6035040" cy="4054793"/>
            <wp:docPr id="15" name="Picture 15"/>
            <wp:cNvGraphicFramePr>
              <a:graphicFrameLocks noChangeAspect="1"/>
            </wp:cNvGraphicFramePr>
            <a:graphic>
              <a:graphicData uri="http://schemas.openxmlformats.org/drawingml/2006/picture">
                <pic:pic>
                  <pic:nvPicPr>
                    <pic:cNvPr id="0" name="RKLB_BOLL.png"/>
                    <pic:cNvPicPr/>
                  </pic:nvPicPr>
                  <pic:blipFill>
                    <a:blip r:embed="rId23"/>
                    <a:stretch>
                      <a:fillRect/>
                    </a:stretch>
                  </pic:blipFill>
                  <pic:spPr>
                    <a:xfrm>
                      <a:off x="0" y="0"/>
                      <a:ext cx="6035040" cy="4054793"/>
                    </a:xfrm>
                    <a:prstGeom prst="rect"/>
                  </pic:spPr>
                </pic:pic>
              </a:graphicData>
            </a:graphic>
          </wp:inline>
        </w:drawing>
      </w:r>
    </w:p>
    <w:p>
      <w:pPr>
        <w:pStyle w:val="Heading3"/>
      </w:pPr>
      <w:r>
        <w:t>MU - Micron Technology, Inc.</w:t>
      </w:r>
    </w:p>
    <w:p>
      <w:r>
        <w:drawing>
          <wp:inline xmlns:a="http://schemas.openxmlformats.org/drawingml/2006/main" xmlns:pic="http://schemas.openxmlformats.org/drawingml/2006/picture">
            <wp:extent cx="6035040" cy="4054793"/>
            <wp:docPr id="16" name="Picture 16"/>
            <wp:cNvGraphicFramePr>
              <a:graphicFrameLocks noChangeAspect="1"/>
            </wp:cNvGraphicFramePr>
            <a:graphic>
              <a:graphicData uri="http://schemas.openxmlformats.org/drawingml/2006/picture">
                <pic:pic>
                  <pic:nvPicPr>
                    <pic:cNvPr id="0" name="MU_BOLL.png"/>
                    <pic:cNvPicPr/>
                  </pic:nvPicPr>
                  <pic:blipFill>
                    <a:blip r:embed="rId24"/>
                    <a:stretch>
                      <a:fillRect/>
                    </a:stretch>
                  </pic:blipFill>
                  <pic:spPr>
                    <a:xfrm>
                      <a:off x="0" y="0"/>
                      <a:ext cx="6035040" cy="4054793"/>
                    </a:xfrm>
                    <a:prstGeom prst="rect"/>
                  </pic:spPr>
                </pic:pic>
              </a:graphicData>
            </a:graphic>
          </wp:inline>
        </w:drawing>
      </w:r>
    </w:p>
    <w:p>
      <w:pPr>
        <w:pStyle w:val="Heading3"/>
      </w:pPr>
      <w:r>
        <w:t>ONDS - Ondas Holdings</w:t>
      </w:r>
    </w:p>
    <w:p>
      <w:r>
        <w:drawing>
          <wp:inline xmlns:a="http://schemas.openxmlformats.org/drawingml/2006/main" xmlns:pic="http://schemas.openxmlformats.org/drawingml/2006/picture">
            <wp:extent cx="6035040" cy="4054793"/>
            <wp:docPr id="17" name="Picture 17"/>
            <wp:cNvGraphicFramePr>
              <a:graphicFrameLocks noChangeAspect="1"/>
            </wp:cNvGraphicFramePr>
            <a:graphic>
              <a:graphicData uri="http://schemas.openxmlformats.org/drawingml/2006/picture">
                <pic:pic>
                  <pic:nvPicPr>
                    <pic:cNvPr id="0" name="ONDS_BOLL.png"/>
                    <pic:cNvPicPr/>
                  </pic:nvPicPr>
                  <pic:blipFill>
                    <a:blip r:embed="rId25"/>
                    <a:stretch>
                      <a:fillRect/>
                    </a:stretch>
                  </pic:blipFill>
                  <pic:spPr>
                    <a:xfrm>
                      <a:off x="0" y="0"/>
                      <a:ext cx="6035040" cy="4054793"/>
                    </a:xfrm>
                    <a:prstGeom prst="rect"/>
                  </pic:spPr>
                </pic:pic>
              </a:graphicData>
            </a:graphic>
          </wp:inline>
        </w:drawing>
      </w:r>
    </w:p>
    <w:p>
      <w:pPr>
        <w:pStyle w:val="Heading3"/>
      </w:pPr>
      <w:r>
        <w:t>INTC - Intel</w:t>
      </w:r>
    </w:p>
    <w:p>
      <w:r>
        <w:drawing>
          <wp:inline xmlns:a="http://schemas.openxmlformats.org/drawingml/2006/main" xmlns:pic="http://schemas.openxmlformats.org/drawingml/2006/picture">
            <wp:extent cx="6035040" cy="4054793"/>
            <wp:docPr id="18" name="Picture 18"/>
            <wp:cNvGraphicFramePr>
              <a:graphicFrameLocks noChangeAspect="1"/>
            </wp:cNvGraphicFramePr>
            <a:graphic>
              <a:graphicData uri="http://schemas.openxmlformats.org/drawingml/2006/picture">
                <pic:pic>
                  <pic:nvPicPr>
                    <pic:cNvPr id="0" name="INTC_BOLL.png"/>
                    <pic:cNvPicPr/>
                  </pic:nvPicPr>
                  <pic:blipFill>
                    <a:blip r:embed="rId26"/>
                    <a:stretch>
                      <a:fillRect/>
                    </a:stretch>
                  </pic:blipFill>
                  <pic:spPr>
                    <a:xfrm>
                      <a:off x="0" y="0"/>
                      <a:ext cx="6035040" cy="4054793"/>
                    </a:xfrm>
                    <a:prstGeom prst="rect"/>
                  </pic:spPr>
                </pic:pic>
              </a:graphicData>
            </a:graphic>
          </wp:inline>
        </w:drawing>
      </w:r>
    </w:p>
    <w:p>
      <w:pPr>
        <w:pStyle w:val="Heading3"/>
      </w:pPr>
      <w:r>
        <w:t>MSFT - Microsoft Corporation</w:t>
      </w:r>
    </w:p>
    <w:p>
      <w:r>
        <w:drawing>
          <wp:inline xmlns:a="http://schemas.openxmlformats.org/drawingml/2006/main" xmlns:pic="http://schemas.openxmlformats.org/drawingml/2006/picture">
            <wp:extent cx="6035040" cy="4054793"/>
            <wp:docPr id="19" name="Picture 19"/>
            <wp:cNvGraphicFramePr>
              <a:graphicFrameLocks noChangeAspect="1"/>
            </wp:cNvGraphicFramePr>
            <a:graphic>
              <a:graphicData uri="http://schemas.openxmlformats.org/drawingml/2006/picture">
                <pic:pic>
                  <pic:nvPicPr>
                    <pic:cNvPr id="0" name="MSFT_BOLL.png"/>
                    <pic:cNvPicPr/>
                  </pic:nvPicPr>
                  <pic:blipFill>
                    <a:blip r:embed="rId27"/>
                    <a:stretch>
                      <a:fillRect/>
                    </a:stretch>
                  </pic:blipFill>
                  <pic:spPr>
                    <a:xfrm>
                      <a:off x="0" y="0"/>
                      <a:ext cx="6035040" cy="4054793"/>
                    </a:xfrm>
                    <a:prstGeom prst="rect"/>
                  </pic:spPr>
                </pic:pic>
              </a:graphicData>
            </a:graphic>
          </wp:inline>
        </w:drawing>
      </w:r>
    </w:p>
    <w:p>
      <w:pPr>
        <w:pStyle w:val="Heading3"/>
      </w:pPr>
      <w:r>
        <w:t>ORCL - Oracle</w:t>
      </w:r>
    </w:p>
    <w:p>
      <w:r>
        <w:drawing>
          <wp:inline xmlns:a="http://schemas.openxmlformats.org/drawingml/2006/main" xmlns:pic="http://schemas.openxmlformats.org/drawingml/2006/picture">
            <wp:extent cx="6035040" cy="4054793"/>
            <wp:docPr id="20" name="Picture 20"/>
            <wp:cNvGraphicFramePr>
              <a:graphicFrameLocks noChangeAspect="1"/>
            </wp:cNvGraphicFramePr>
            <a:graphic>
              <a:graphicData uri="http://schemas.openxmlformats.org/drawingml/2006/picture">
                <pic:pic>
                  <pic:nvPicPr>
                    <pic:cNvPr id="0" name="ORCL_BOLL.png"/>
                    <pic:cNvPicPr/>
                  </pic:nvPicPr>
                  <pic:blipFill>
                    <a:blip r:embed="rId28"/>
                    <a:stretch>
                      <a:fillRect/>
                    </a:stretch>
                  </pic:blipFill>
                  <pic:spPr>
                    <a:xfrm>
                      <a:off x="0" y="0"/>
                      <a:ext cx="6035040" cy="4054793"/>
                    </a:xfrm>
                    <a:prstGeom prst="rect"/>
                  </pic:spPr>
                </pic:pic>
              </a:graphicData>
            </a:graphic>
          </wp:inline>
        </w:drawing>
      </w:r>
    </w:p>
    <w:p>
      <w:pPr>
        <w:pStyle w:val="Heading3"/>
      </w:pPr>
      <w:r>
        <w:t>CBRS - Chain Bridge Bancorp</w:t>
      </w:r>
    </w:p>
    <w:p>
      <w:r>
        <w:drawing>
          <wp:inline xmlns:a="http://schemas.openxmlformats.org/drawingml/2006/main" xmlns:pic="http://schemas.openxmlformats.org/drawingml/2006/picture">
            <wp:extent cx="6035040" cy="4054793"/>
            <wp:docPr id="21" name="Picture 21"/>
            <wp:cNvGraphicFramePr>
              <a:graphicFrameLocks noChangeAspect="1"/>
            </wp:cNvGraphicFramePr>
            <a:graphic>
              <a:graphicData uri="http://schemas.openxmlformats.org/drawingml/2006/picture">
                <pic:pic>
                  <pic:nvPicPr>
                    <pic:cNvPr id="0" name="CBRS_BOLL.png"/>
                    <pic:cNvPicPr/>
                  </pic:nvPicPr>
                  <pic:blipFill>
                    <a:blip r:embed="rId29"/>
                    <a:stretch>
                      <a:fillRect/>
                    </a:stretch>
                  </pic:blipFill>
                  <pic:spPr>
                    <a:xfrm>
                      <a:off x="0" y="0"/>
                      <a:ext cx="6035040" cy="4054793"/>
                    </a:xfrm>
                    <a:prstGeom prst="rect"/>
                  </pic:spPr>
                </pic:pic>
              </a:graphicData>
            </a:graphic>
          </wp:inline>
        </w:drawing>
      </w:r>
    </w:p>
    <w:p>
      <w:pPr>
        <w:pStyle w:val="Heading3"/>
      </w:pPr>
      <w:r>
        <w:t>QBTS - D-Wave Quantum</w:t>
      </w:r>
    </w:p>
    <w:p>
      <w:r>
        <w:drawing>
          <wp:inline xmlns:a="http://schemas.openxmlformats.org/drawingml/2006/main" xmlns:pic="http://schemas.openxmlformats.org/drawingml/2006/picture">
            <wp:extent cx="6035040" cy="4054793"/>
            <wp:docPr id="22" name="Picture 22"/>
            <wp:cNvGraphicFramePr>
              <a:graphicFrameLocks noChangeAspect="1"/>
            </wp:cNvGraphicFramePr>
            <a:graphic>
              <a:graphicData uri="http://schemas.openxmlformats.org/drawingml/2006/picture">
                <pic:pic>
                  <pic:nvPicPr>
                    <pic:cNvPr id="0" name="QBTS_BOLL.png"/>
                    <pic:cNvPicPr/>
                  </pic:nvPicPr>
                  <pic:blipFill>
                    <a:blip r:embed="rId30"/>
                    <a:stretch>
                      <a:fillRect/>
                    </a:stretch>
                  </pic:blipFill>
                  <pic:spPr>
                    <a:xfrm>
                      <a:off x="0" y="0"/>
                      <a:ext cx="6035040" cy="4054793"/>
                    </a:xfrm>
                    <a:prstGeom prst="rect"/>
                  </pic:spPr>
                </pic:pic>
              </a:graphicData>
            </a:graphic>
          </wp:inline>
        </w:drawing>
      </w:r>
    </w:p>
    <w:p>
      <w:pPr>
        <w:pStyle w:val="Heading3"/>
      </w:pPr>
      <w:r>
        <w:t>MRVL - Marvell Technology</w:t>
      </w:r>
    </w:p>
    <w:p>
      <w:r>
        <w:drawing>
          <wp:inline xmlns:a="http://schemas.openxmlformats.org/drawingml/2006/main" xmlns:pic="http://schemas.openxmlformats.org/drawingml/2006/picture">
            <wp:extent cx="6035040" cy="4054793"/>
            <wp:docPr id="23" name="Picture 23"/>
            <wp:cNvGraphicFramePr>
              <a:graphicFrameLocks noChangeAspect="1"/>
            </wp:cNvGraphicFramePr>
            <a:graphic>
              <a:graphicData uri="http://schemas.openxmlformats.org/drawingml/2006/picture">
                <pic:pic>
                  <pic:nvPicPr>
                    <pic:cNvPr id="0" name="MRVL_BOLL.png"/>
                    <pic:cNvPicPr/>
                  </pic:nvPicPr>
                  <pic:blipFill>
                    <a:blip r:embed="rId31"/>
                    <a:stretch>
                      <a:fillRect/>
                    </a:stretch>
                  </pic:blipFill>
                  <pic:spPr>
                    <a:xfrm>
                      <a:off x="0" y="0"/>
                      <a:ext cx="6035040" cy="4054793"/>
                    </a:xfrm>
                    <a:prstGeom prst="rect"/>
                  </pic:spPr>
                </pic:pic>
              </a:graphicData>
            </a:graphic>
          </wp:inline>
        </w:drawing>
      </w:r>
    </w:p>
    <w:p>
      <w:pPr>
        <w:pStyle w:val="Heading3"/>
      </w:pPr>
      <w:r>
        <w:t>MANE - Veradermics, Incorporated</w:t>
      </w:r>
    </w:p>
    <w:p>
      <w:r>
        <w:drawing>
          <wp:inline xmlns:a="http://schemas.openxmlformats.org/drawingml/2006/main" xmlns:pic="http://schemas.openxmlformats.org/drawingml/2006/picture">
            <wp:extent cx="6035040" cy="4054793"/>
            <wp:docPr id="24" name="Picture 24"/>
            <wp:cNvGraphicFramePr>
              <a:graphicFrameLocks noChangeAspect="1"/>
            </wp:cNvGraphicFramePr>
            <a:graphic>
              <a:graphicData uri="http://schemas.openxmlformats.org/drawingml/2006/picture">
                <pic:pic>
                  <pic:nvPicPr>
                    <pic:cNvPr id="0" name="MANE_BOLL.png"/>
                    <pic:cNvPicPr/>
                  </pic:nvPicPr>
                  <pic:blipFill>
                    <a:blip r:embed="rId32"/>
                    <a:stretch>
                      <a:fillRect/>
                    </a:stretch>
                  </pic:blipFill>
                  <pic:spPr>
                    <a:xfrm>
                      <a:off x="0" y="0"/>
                      <a:ext cx="6035040" cy="4054793"/>
                    </a:xfrm>
                    <a:prstGeom prst="rect"/>
                  </pic:spPr>
                </pic:pic>
              </a:graphicData>
            </a:graphic>
          </wp:inline>
        </w:drawing>
      </w:r>
    </w:p>
    <w:p>
      <w:pPr>
        <w:pStyle w:val="Heading3"/>
      </w:pPr>
      <w:r>
        <w:t>QCOM - QUALCOMM Incorporated</w:t>
      </w:r>
    </w:p>
    <w:p>
      <w:r>
        <w:drawing>
          <wp:inline xmlns:a="http://schemas.openxmlformats.org/drawingml/2006/main" xmlns:pic="http://schemas.openxmlformats.org/drawingml/2006/picture">
            <wp:extent cx="6035040" cy="4054793"/>
            <wp:docPr id="25" name="Picture 25"/>
            <wp:cNvGraphicFramePr>
              <a:graphicFrameLocks noChangeAspect="1"/>
            </wp:cNvGraphicFramePr>
            <a:graphic>
              <a:graphicData uri="http://schemas.openxmlformats.org/drawingml/2006/picture">
                <pic:pic>
                  <pic:nvPicPr>
                    <pic:cNvPr id="0" name="QCOM_BOLL.png"/>
                    <pic:cNvPicPr/>
                  </pic:nvPicPr>
                  <pic:blipFill>
                    <a:blip r:embed="rId33"/>
                    <a:stretch>
                      <a:fillRect/>
                    </a:stretch>
                  </pic:blipFill>
                  <pic:spPr>
                    <a:xfrm>
                      <a:off x="0" y="0"/>
                      <a:ext cx="6035040" cy="4054793"/>
                    </a:xfrm>
                    <a:prstGeom prst="rect"/>
                  </pic:spPr>
                </pic:pic>
              </a:graphicData>
            </a:graphic>
          </wp:inline>
        </w:drawing>
      </w:r>
    </w:p>
    <w:p>
      <w:pPr>
        <w:pStyle w:val="Heading3"/>
      </w:pPr>
      <w:r>
        <w:t>CRCL - Circle Internet Group</w:t>
      </w:r>
    </w:p>
    <w:p>
      <w:r>
        <w:drawing>
          <wp:inline xmlns:a="http://schemas.openxmlformats.org/drawingml/2006/main" xmlns:pic="http://schemas.openxmlformats.org/drawingml/2006/picture">
            <wp:extent cx="6035040" cy="4054793"/>
            <wp:docPr id="26" name="Picture 26"/>
            <wp:cNvGraphicFramePr>
              <a:graphicFrameLocks noChangeAspect="1"/>
            </wp:cNvGraphicFramePr>
            <a:graphic>
              <a:graphicData uri="http://schemas.openxmlformats.org/drawingml/2006/picture">
                <pic:pic>
                  <pic:nvPicPr>
                    <pic:cNvPr id="0" name="CRCL_BOLL.png"/>
                    <pic:cNvPicPr/>
                  </pic:nvPicPr>
                  <pic:blipFill>
                    <a:blip r:embed="rId34"/>
                    <a:stretch>
                      <a:fillRect/>
                    </a:stretch>
                  </pic:blipFill>
                  <pic:spPr>
                    <a:xfrm>
                      <a:off x="0" y="0"/>
                      <a:ext cx="6035040" cy="4054793"/>
                    </a:xfrm>
                    <a:prstGeom prst="rect"/>
                  </pic:spPr>
                </pic:pic>
              </a:graphicData>
            </a:graphic>
          </wp:inline>
        </w:drawing>
      </w:r>
    </w:p>
    <w:p>
      <w:pPr>
        <w:pStyle w:val="Heading3"/>
      </w:pPr>
      <w:r>
        <w:t>AVGO - Broadcom Inc.</w:t>
      </w:r>
    </w:p>
    <w:p>
      <w:r>
        <w:drawing>
          <wp:inline xmlns:a="http://schemas.openxmlformats.org/drawingml/2006/main" xmlns:pic="http://schemas.openxmlformats.org/drawingml/2006/picture">
            <wp:extent cx="6035040" cy="4054793"/>
            <wp:docPr id="27" name="Picture 27"/>
            <wp:cNvGraphicFramePr>
              <a:graphicFrameLocks noChangeAspect="1"/>
            </wp:cNvGraphicFramePr>
            <a:graphic>
              <a:graphicData uri="http://schemas.openxmlformats.org/drawingml/2006/picture">
                <pic:pic>
                  <pic:nvPicPr>
                    <pic:cNvPr id="0" name="AVGO_BOLL.png"/>
                    <pic:cNvPicPr/>
                  </pic:nvPicPr>
                  <pic:blipFill>
                    <a:blip r:embed="rId35"/>
                    <a:stretch>
                      <a:fillRect/>
                    </a:stretch>
                  </pic:blipFill>
                  <pic:spPr>
                    <a:xfrm>
                      <a:off x="0" y="0"/>
                      <a:ext cx="6035040" cy="4054793"/>
                    </a:xfrm>
                    <a:prstGeom prst="rect"/>
                  </pic:spPr>
                </pic:pic>
              </a:graphicData>
            </a:graphic>
          </wp:inline>
        </w:drawing>
      </w:r>
    </w:p>
    <w:p>
      <w:pPr>
        <w:pStyle w:val="Heading3"/>
      </w:pPr>
      <w:r>
        <w:t>OKLO - Oklo</w:t>
      </w:r>
    </w:p>
    <w:p>
      <w:r>
        <w:drawing>
          <wp:inline xmlns:a="http://schemas.openxmlformats.org/drawingml/2006/main" xmlns:pic="http://schemas.openxmlformats.org/drawingml/2006/picture">
            <wp:extent cx="6035040" cy="4054793"/>
            <wp:docPr id="28" name="Picture 28"/>
            <wp:cNvGraphicFramePr>
              <a:graphicFrameLocks noChangeAspect="1"/>
            </wp:cNvGraphicFramePr>
            <a:graphic>
              <a:graphicData uri="http://schemas.openxmlformats.org/drawingml/2006/picture">
                <pic:pic>
                  <pic:nvPicPr>
                    <pic:cNvPr id="0" name="OKLO_BOLL.png"/>
                    <pic:cNvPicPr/>
                  </pic:nvPicPr>
                  <pic:blipFill>
                    <a:blip r:embed="rId36"/>
                    <a:stretch>
                      <a:fillRect/>
                    </a:stretch>
                  </pic:blipFill>
                  <pic:spPr>
                    <a:xfrm>
                      <a:off x="0" y="0"/>
                      <a:ext cx="6035040" cy="4054793"/>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