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- 2026-09-24</w:t>
      </w:r>
    </w:p>
    <w:p>
      <w:pPr>
        <w:pStyle w:val="ListBullet"/>
      </w:pPr>
      <w:r>
        <w:t>生成时间（美东）：2026-09-24 21:36:01 EDT</w:t>
      </w:r>
    </w:p>
    <w:p>
      <w:pPr>
        <w:pStyle w:val="ListBullet"/>
      </w:pPr>
      <w:r>
        <w:t>最新可用交易日：2026-09-24</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IONQ</w:t>
            </w:r>
          </w:p>
        </w:tc>
        <w:tc>
          <w:tcPr>
            <w:tcW w:type="dxa" w:w="960"/>
          </w:tcPr>
          <w:p>
            <w:r>
              <w:t>IonQ</w:t>
            </w:r>
          </w:p>
        </w:tc>
        <w:tc>
          <w:tcPr>
            <w:tcW w:type="dxa" w:w="960"/>
          </w:tcPr>
          <w:p>
            <w:r>
              <w:t>A 强信号</w:t>
            </w:r>
          </w:p>
        </w:tc>
        <w:tc>
          <w:tcPr>
            <w:tcW w:type="dxa" w:w="960"/>
          </w:tcPr>
          <w:p>
            <w:r>
              <w:t>布林带向上开口（最近2天）；成交量放大；放量突破上轨-强；中轨反弹并接近上轨</w:t>
            </w:r>
          </w:p>
        </w:tc>
        <w:tc>
          <w:tcPr>
            <w:tcW w:type="dxa" w:w="960"/>
          </w:tcPr>
          <w:p>
            <w:r>
              <w:t>突破上轨</w:t>
            </w:r>
          </w:p>
        </w:tc>
        <w:tc>
          <w:tcPr>
            <w:tcW w:type="dxa" w:w="960"/>
          </w:tcPr>
          <w:p>
            <w:r>
              <w:t>21.83%</w:t>
            </w:r>
          </w:p>
        </w:tc>
        <w:tc>
          <w:tcPr>
            <w:tcW w:type="dxa" w:w="960"/>
          </w:tcPr>
          <w:p>
            <w:r>
              <w:t>1.157</w:t>
            </w:r>
          </w:p>
        </w:tc>
        <w:tc>
          <w:tcPr>
            <w:tcW w:type="dxa" w:w="960"/>
          </w:tcPr>
          <w:p>
            <w:r>
              <w:t>1.84</w:t>
            </w:r>
          </w:p>
        </w:tc>
        <w:tc>
          <w:tcPr>
            <w:tcW w:type="dxa" w:w="960"/>
          </w:tcPr>
          <w:p>
            <w:r>
              <w:t>股价放量突破布林线上轨，说明短线多头动能较强，可能进入强势上涨阶段，但也要注意短线过热和回</w:t>
            </w:r>
          </w:p>
        </w:tc>
      </w:tr>
      <w:tr>
        <w:tc>
          <w:tcPr>
            <w:tcW w:type="dxa" w:w="960"/>
          </w:tcPr>
          <w:p>
            <w:r>
              <w:t>NBIS</w:t>
            </w:r>
          </w:p>
        </w:tc>
        <w:tc>
          <w:tcPr>
            <w:tcW w:type="dxa" w:w="960"/>
          </w:tcPr>
          <w:p>
            <w:r>
              <w:t>Nebius Group</w:t>
            </w:r>
          </w:p>
        </w:tc>
        <w:tc>
          <w:tcPr>
            <w:tcW w:type="dxa" w:w="960"/>
          </w:tcPr>
          <w:p>
            <w:r>
              <w:t>A 强信号</w:t>
            </w:r>
          </w:p>
        </w:tc>
        <w:tc>
          <w:tcPr>
            <w:tcW w:type="dxa" w:w="960"/>
          </w:tcPr>
          <w:p>
            <w:r>
              <w:t>布林带向上开口（最近5天）；成交量放大；中轨反弹并接近上轨；成交量放大</w:t>
            </w:r>
          </w:p>
        </w:tc>
        <w:tc>
          <w:tcPr>
            <w:tcW w:type="dxa" w:w="960"/>
          </w:tcPr>
          <w:p>
            <w:r>
              <w:t>靠近上轨</w:t>
            </w:r>
          </w:p>
        </w:tc>
        <w:tc>
          <w:tcPr>
            <w:tcW w:type="dxa" w:w="960"/>
          </w:tcPr>
          <w:p>
            <w:r>
              <w:t>24.02%</w:t>
            </w:r>
          </w:p>
        </w:tc>
        <w:tc>
          <w:tcPr>
            <w:tcW w:type="dxa" w:w="960"/>
          </w:tcPr>
          <w:p>
            <w:r>
              <w:t>0.922</w:t>
            </w:r>
          </w:p>
        </w:tc>
        <w:tc>
          <w:tcPr>
            <w:tcW w:type="dxa" w:w="960"/>
          </w:tcPr>
          <w:p>
            <w:r>
              <w:t>1.58</w:t>
            </w:r>
          </w:p>
        </w:tc>
        <w:tc>
          <w:tcPr>
            <w:tcW w:type="dxa" w:w="960"/>
          </w:tcPr>
          <w:p>
            <w:r>
              <w:t>布林带向上开口，说明波动率开始放大，股价接近上轨，可能进入趋势启动观察阶段，需要继续结合突</w:t>
            </w:r>
          </w:p>
        </w:tc>
      </w:tr>
      <w:tr>
        <w:tc>
          <w:tcPr>
            <w:tcW w:type="dxa" w:w="960"/>
          </w:tcPr>
          <w:p>
            <w:r>
              <w:t>INOD</w:t>
            </w:r>
          </w:p>
        </w:tc>
        <w:tc>
          <w:tcPr>
            <w:tcW w:type="dxa" w:w="960"/>
          </w:tcPr>
          <w:p>
            <w:r>
              <w:t>Innodata</w:t>
            </w:r>
          </w:p>
        </w:tc>
        <w:tc>
          <w:tcPr>
            <w:tcW w:type="dxa" w:w="960"/>
          </w:tcPr>
          <w:p>
            <w:r>
              <w:t>A 强信号</w:t>
            </w:r>
          </w:p>
        </w:tc>
        <w:tc>
          <w:tcPr>
            <w:tcW w:type="dxa" w:w="960"/>
          </w:tcPr>
          <w:p>
            <w:r>
              <w:t>布林带向上开口（最近3天）；成交量放大；放量突破上轨-中；连续2日站上上轨</w:t>
            </w:r>
          </w:p>
        </w:tc>
        <w:tc>
          <w:tcPr>
            <w:tcW w:type="dxa" w:w="960"/>
          </w:tcPr>
          <w:p>
            <w:r>
              <w:t>突破上轨</w:t>
            </w:r>
          </w:p>
        </w:tc>
        <w:tc>
          <w:tcPr>
            <w:tcW w:type="dxa" w:w="960"/>
          </w:tcPr>
          <w:p>
            <w:r>
              <w:t>40.00%</w:t>
            </w:r>
          </w:p>
        </w:tc>
        <w:tc>
          <w:tcPr>
            <w:tcW w:type="dxa" w:w="960"/>
          </w:tcPr>
          <w:p>
            <w:r>
              <w:t>1.090</w:t>
            </w:r>
          </w:p>
        </w:tc>
        <w:tc>
          <w:tcPr>
            <w:tcW w:type="dxa" w:w="960"/>
          </w:tcPr>
          <w:p>
            <w:r>
              <w:t>1.30</w:t>
            </w:r>
          </w:p>
        </w:tc>
        <w:tc>
          <w:tcPr>
            <w:tcW w:type="dxa" w:w="960"/>
          </w:tcPr>
          <w:p>
            <w:r>
              <w:t>股价放量突破布林线上轨，说明短线多头动能较强，可能进入强势上涨阶段，但也要注意短线过热和回</w:t>
            </w:r>
          </w:p>
        </w:tc>
      </w:tr>
      <w:tr>
        <w:tc>
          <w:tcPr>
            <w:tcW w:type="dxa" w:w="960"/>
          </w:tcPr>
          <w:p>
            <w:r>
              <w:t>BB</w:t>
            </w:r>
          </w:p>
        </w:tc>
        <w:tc>
          <w:tcPr>
            <w:tcW w:type="dxa" w:w="960"/>
          </w:tcPr>
          <w:p>
            <w:r>
              <w:t>BlackBerry</w:t>
            </w:r>
          </w:p>
        </w:tc>
        <w:tc>
          <w:tcPr>
            <w:tcW w:type="dxa" w:w="960"/>
          </w:tcPr>
          <w:p>
            <w:r>
              <w:t>B 中等信号</w:t>
            </w:r>
          </w:p>
        </w:tc>
        <w:tc>
          <w:tcPr>
            <w:tcW w:type="dxa" w:w="960"/>
          </w:tcPr>
          <w:p>
            <w:r>
              <w:t>布林带向上开口（最近4天）；成交量放大</w:t>
            </w:r>
          </w:p>
        </w:tc>
        <w:tc>
          <w:tcPr>
            <w:tcW w:type="dxa" w:w="960"/>
          </w:tcPr>
          <w:p>
            <w:r>
              <w:t>靠近上轨</w:t>
            </w:r>
          </w:p>
        </w:tc>
        <w:tc>
          <w:tcPr>
            <w:tcW w:type="dxa" w:w="960"/>
          </w:tcPr>
          <w:p>
            <w:r>
              <w:t>18.74%</w:t>
            </w:r>
          </w:p>
        </w:tc>
        <w:tc>
          <w:tcPr>
            <w:tcW w:type="dxa" w:w="960"/>
          </w:tcPr>
          <w:p>
            <w:r>
              <w:t>0.987</w:t>
            </w:r>
          </w:p>
        </w:tc>
        <w:tc>
          <w:tcPr>
            <w:tcW w:type="dxa" w:w="960"/>
          </w:tcPr>
          <w:p>
            <w:r>
              <w:t>3.30</w:t>
            </w:r>
          </w:p>
        </w:tc>
        <w:tc>
          <w:tcPr>
            <w:tcW w:type="dxa" w:w="960"/>
          </w:tcPr>
          <w:p>
            <w:r>
              <w:t>布林带向上开口，说明波动率开始放大，股价接近上轨，可能进入趋势启动观察阶段，需要继续结合突</w:t>
            </w:r>
          </w:p>
        </w:tc>
      </w:tr>
      <w:tr>
        <w:tc>
          <w:tcPr>
            <w:tcW w:type="dxa" w:w="960"/>
          </w:tcPr>
          <w:p>
            <w:r>
              <w:t>ONDS</w:t>
            </w:r>
          </w:p>
        </w:tc>
        <w:tc>
          <w:tcPr>
            <w:tcW w:type="dxa" w:w="960"/>
          </w:tcPr>
          <w:p>
            <w:r>
              <w:t>Ondas Holdings</w:t>
            </w:r>
          </w:p>
        </w:tc>
        <w:tc>
          <w:tcPr>
            <w:tcW w:type="dxa" w:w="960"/>
          </w:tcPr>
          <w:p>
            <w:r>
              <w:t>B 中等信号</w:t>
            </w:r>
          </w:p>
        </w:tc>
        <w:tc>
          <w:tcPr>
            <w:tcW w:type="dxa" w:w="960"/>
          </w:tcPr>
          <w:p>
            <w:r>
              <w:t>强收口：Bandwidth创近100日新低；中轨附近窄幅震荡；低位形态</w:t>
            </w:r>
          </w:p>
        </w:tc>
        <w:tc>
          <w:tcPr>
            <w:tcW w:type="dxa" w:w="960"/>
          </w:tcPr>
          <w:p>
            <w:r>
              <w:t>中轨附近</w:t>
            </w:r>
          </w:p>
        </w:tc>
        <w:tc>
          <w:tcPr>
            <w:tcW w:type="dxa" w:w="960"/>
          </w:tcPr>
          <w:p>
            <w:r>
              <w:t>18.96%</w:t>
            </w:r>
          </w:p>
        </w:tc>
        <w:tc>
          <w:tcPr>
            <w:tcW w:type="dxa" w:w="960"/>
          </w:tcPr>
          <w:p>
            <w:r>
              <w:t>0.565</w:t>
            </w:r>
          </w:p>
        </w:tc>
        <w:tc>
          <w:tcPr>
            <w:tcW w:type="dxa" w:w="960"/>
          </w:tcPr>
          <w:p>
            <w:r>
              <w:t>1.75</w:t>
            </w:r>
          </w:p>
        </w:tc>
        <w:tc>
          <w:tcPr>
            <w:tcW w:type="dxa" w:w="960"/>
          </w:tcPr>
          <w:p>
            <w:r>
              <w:t>布林带收口，说明波动率下降，股价可能处于蓄势阶段，但方向尚未确认。</w:t>
            </w:r>
          </w:p>
        </w:tc>
      </w:tr>
      <w:tr>
        <w:tc>
          <w:tcPr>
            <w:tcW w:type="dxa" w:w="960"/>
          </w:tcPr>
          <w:p>
            <w:r>
              <w:t>CORZ</w:t>
            </w:r>
          </w:p>
        </w:tc>
        <w:tc>
          <w:tcPr>
            <w:tcW w:type="dxa" w:w="960"/>
          </w:tcPr>
          <w:p>
            <w:r>
              <w:t>Core Scientific, Inc.</w:t>
            </w:r>
          </w:p>
        </w:tc>
        <w:tc>
          <w:tcPr>
            <w:tcW w:type="dxa" w:w="960"/>
          </w:tcPr>
          <w:p>
            <w:r>
              <w:t>B 中等信号</w:t>
            </w:r>
          </w:p>
        </w:tc>
        <w:tc>
          <w:tcPr>
            <w:tcW w:type="dxa" w:w="960"/>
          </w:tcPr>
          <w:p>
            <w:r>
              <w:t>下轨反弹：处于中轨与上轨之间；成交量温和改善；低位形态</w:t>
            </w:r>
          </w:p>
        </w:tc>
        <w:tc>
          <w:tcPr>
            <w:tcW w:type="dxa" w:w="960"/>
          </w:tcPr>
          <w:p>
            <w:r>
              <w:t>中轨上方</w:t>
            </w:r>
          </w:p>
        </w:tc>
        <w:tc>
          <w:tcPr>
            <w:tcW w:type="dxa" w:w="960"/>
          </w:tcPr>
          <w:p>
            <w:r>
              <w:t>17.68%</w:t>
            </w:r>
          </w:p>
        </w:tc>
        <w:tc>
          <w:tcPr>
            <w:tcW w:type="dxa" w:w="960"/>
          </w:tcPr>
          <w:p>
            <w:r>
              <w:t>0.730</w:t>
            </w:r>
          </w:p>
        </w:tc>
        <w:tc>
          <w:tcPr>
            <w:tcW w:type="dxa" w:w="960"/>
          </w:tcPr>
          <w:p>
            <w:r>
              <w:t>1.13</w:t>
            </w:r>
          </w:p>
        </w:tc>
        <w:tc>
          <w:tcPr>
            <w:tcW w:type="dxa" w:w="960"/>
          </w:tcPr>
          <w:p>
            <w:r>
              <w:t>股价从下轨附近反弹并回到中轨上方，目前处于中轨与上轨之间，说明短线修复有所增强，但仍需要成</w:t>
            </w:r>
          </w:p>
        </w:tc>
      </w:tr>
      <w:tr>
        <w:tc>
          <w:tcPr>
            <w:tcW w:type="dxa" w:w="960"/>
          </w:tcPr>
          <w:p>
            <w:r>
              <w:t>RKLB</w:t>
            </w:r>
          </w:p>
        </w:tc>
        <w:tc>
          <w:tcPr>
            <w:tcW w:type="dxa" w:w="960"/>
          </w:tcPr>
          <w:p>
            <w:r>
              <w:t>Rocket Lab USA</w:t>
            </w:r>
          </w:p>
        </w:tc>
        <w:tc>
          <w:tcPr>
            <w:tcW w:type="dxa" w:w="960"/>
          </w:tcPr>
          <w:p>
            <w:r>
              <w:t>C 观察信号</w:t>
            </w:r>
          </w:p>
        </w:tc>
        <w:tc>
          <w:tcPr>
            <w:tcW w:type="dxa" w:w="960"/>
          </w:tcPr>
          <w:p>
            <w:r>
              <w:t>突破上轨但量能不足-弱；低位形态</w:t>
            </w:r>
          </w:p>
        </w:tc>
        <w:tc>
          <w:tcPr>
            <w:tcW w:type="dxa" w:w="960"/>
          </w:tcPr>
          <w:p>
            <w:r>
              <w:t>突破上轨</w:t>
            </w:r>
          </w:p>
        </w:tc>
        <w:tc>
          <w:tcPr>
            <w:tcW w:type="dxa" w:w="960"/>
          </w:tcPr>
          <w:p>
            <w:r>
              <w:t>20.41%</w:t>
            </w:r>
          </w:p>
        </w:tc>
        <w:tc>
          <w:tcPr>
            <w:tcW w:type="dxa" w:w="960"/>
          </w:tcPr>
          <w:p>
            <w:r>
              <w:t>1.101</w:t>
            </w:r>
          </w:p>
        </w:tc>
        <w:tc>
          <w:tcPr>
            <w:tcW w:type="dxa" w:w="960"/>
          </w:tcPr>
          <w:p>
            <w:r>
              <w:t>1.27</w:t>
            </w:r>
          </w:p>
        </w:tc>
        <w:tc>
          <w:tcPr>
            <w:tcW w:type="dxa" w:w="960"/>
          </w:tcPr>
          <w:p>
            <w:r>
              <w:t>股价突破布林线上轨，但成交量确认不足，可能是假突破，需要下一交易日确认。</w:t>
            </w:r>
          </w:p>
        </w:tc>
      </w:tr>
      <w:tr>
        <w:tc>
          <w:tcPr>
            <w:tcW w:type="dxa" w:w="960"/>
          </w:tcPr>
          <w:p>
            <w:r>
              <w:t>INTC</w:t>
            </w:r>
          </w:p>
        </w:tc>
        <w:tc>
          <w:tcPr>
            <w:tcW w:type="dxa" w:w="960"/>
          </w:tcPr>
          <w:p>
            <w:r>
              <w:t>Intel</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47.19%</w:t>
            </w:r>
          </w:p>
        </w:tc>
        <w:tc>
          <w:tcPr>
            <w:tcW w:type="dxa" w:w="960"/>
          </w:tcPr>
          <w:p>
            <w:r>
              <w:t>1.002</w:t>
            </w:r>
          </w:p>
        </w:tc>
        <w:tc>
          <w:tcPr>
            <w:tcW w:type="dxa" w:w="960"/>
          </w:tcPr>
          <w:p>
            <w:r>
              <w:t>1.12</w:t>
            </w:r>
          </w:p>
        </w:tc>
        <w:tc>
          <w:tcPr>
            <w:tcW w:type="dxa" w:w="960"/>
          </w:tcPr>
          <w:p>
            <w:r>
              <w:t>股价突破布林线上轨，但成交量确认不足，可能是假突破，需要下一交易日确认。</w:t>
            </w:r>
          </w:p>
        </w:tc>
      </w:tr>
      <w:tr>
        <w:tc>
          <w:tcPr>
            <w:tcW w:type="dxa" w:w="960"/>
          </w:tcPr>
          <w:p>
            <w:r>
              <w:t>VICR</w:t>
            </w:r>
          </w:p>
        </w:tc>
        <w:tc>
          <w:tcPr>
            <w:tcW w:type="dxa" w:w="960"/>
          </w:tcPr>
          <w:p>
            <w:r>
              <w:t>Vicor Corporation</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58.52%</w:t>
            </w:r>
          </w:p>
        </w:tc>
        <w:tc>
          <w:tcPr>
            <w:tcW w:type="dxa" w:w="960"/>
          </w:tcPr>
          <w:p>
            <w:r>
              <w:t>1.133</w:t>
            </w:r>
          </w:p>
        </w:tc>
        <w:tc>
          <w:tcPr>
            <w:tcW w:type="dxa" w:w="960"/>
          </w:tcPr>
          <w:p>
            <w:r>
              <w:t>1.06</w:t>
            </w:r>
          </w:p>
        </w:tc>
        <w:tc>
          <w:tcPr>
            <w:tcW w:type="dxa" w:w="960"/>
          </w:tcPr>
          <w:p>
            <w:r>
              <w:t>股价突破布林线上轨，但成交量确认不足，可能是假突破，需要下一交易日确认。</w:t>
            </w:r>
          </w:p>
        </w:tc>
      </w:tr>
      <w:tr>
        <w:tc>
          <w:tcPr>
            <w:tcW w:type="dxa" w:w="960"/>
          </w:tcPr>
          <w:p>
            <w:r>
              <w:t>VELO</w:t>
            </w:r>
          </w:p>
        </w:tc>
        <w:tc>
          <w:tcPr>
            <w:tcW w:type="dxa" w:w="960"/>
          </w:tcPr>
          <w:p>
            <w:r>
              <w:t>Velo3D, Inc.</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28.99%</w:t>
            </w:r>
          </w:p>
        </w:tc>
        <w:tc>
          <w:tcPr>
            <w:tcW w:type="dxa" w:w="960"/>
          </w:tcPr>
          <w:p>
            <w:r>
              <w:t>0.454</w:t>
            </w:r>
          </w:p>
        </w:tc>
        <w:tc>
          <w:tcPr>
            <w:tcW w:type="dxa" w:w="960"/>
          </w:tcPr>
          <w:p>
            <w:r>
              <w:t>1.00</w:t>
            </w:r>
          </w:p>
        </w:tc>
        <w:tc>
          <w:tcPr>
            <w:tcW w:type="dxa" w:w="960"/>
          </w:tcPr>
          <w:p>
            <w:r>
              <w:t>布林带收口，说明波动率下降，股价可能处于蓄势阶段，但方向尚未确认。</w:t>
            </w:r>
          </w:p>
        </w:tc>
      </w:tr>
      <w:tr>
        <w:tc>
          <w:tcPr>
            <w:tcW w:type="dxa" w:w="960"/>
          </w:tcPr>
          <w:p>
            <w:r>
              <w:t>NNE</w:t>
            </w:r>
          </w:p>
        </w:tc>
        <w:tc>
          <w:tcPr>
            <w:tcW w:type="dxa" w:w="960"/>
          </w:tcPr>
          <w:p>
            <w:r>
              <w:t>Nano Nuclear Energy Inc.</w:t>
            </w:r>
          </w:p>
        </w:tc>
        <w:tc>
          <w:tcPr>
            <w:tcW w:type="dxa" w:w="960"/>
          </w:tcPr>
          <w:p>
            <w:r>
              <w:t>C 观察信号</w:t>
            </w:r>
          </w:p>
        </w:tc>
        <w:tc>
          <w:tcPr>
            <w:tcW w:type="dxa" w:w="960"/>
          </w:tcPr>
          <w:p>
            <w:r>
              <w:t>弱收口：Bandwidth连续20天维持低于近8个月30%分位；中轨附近窄幅震荡；低位形态</w:t>
            </w:r>
          </w:p>
        </w:tc>
        <w:tc>
          <w:tcPr>
            <w:tcW w:type="dxa" w:w="960"/>
          </w:tcPr>
          <w:p>
            <w:r>
              <w:t>中轨附近</w:t>
            </w:r>
          </w:p>
        </w:tc>
        <w:tc>
          <w:tcPr>
            <w:tcW w:type="dxa" w:w="960"/>
          </w:tcPr>
          <w:p>
            <w:r>
              <w:t>24.51%</w:t>
            </w:r>
          </w:p>
        </w:tc>
        <w:tc>
          <w:tcPr>
            <w:tcW w:type="dxa" w:w="960"/>
          </w:tcPr>
          <w:p>
            <w:r>
              <w:t>0.424</w:t>
            </w:r>
          </w:p>
        </w:tc>
        <w:tc>
          <w:tcPr>
            <w:tcW w:type="dxa" w:w="960"/>
          </w:tcPr>
          <w:p>
            <w:r>
              <w:t>0.98</w:t>
            </w:r>
          </w:p>
        </w:tc>
        <w:tc>
          <w:tcPr>
            <w:tcW w:type="dxa" w:w="960"/>
          </w:tcPr>
          <w:p>
            <w:r>
              <w:t>布林带收口，说明波动率下降，股价可能处于蓄势阶段，但方向尚未确认。</w:t>
            </w:r>
          </w:p>
        </w:tc>
      </w:tr>
      <w:tr>
        <w:tc>
          <w:tcPr>
            <w:tcW w:type="dxa" w:w="960"/>
          </w:tcPr>
          <w:p>
            <w:r>
              <w:t>MANE</w:t>
            </w:r>
          </w:p>
        </w:tc>
        <w:tc>
          <w:tcPr>
            <w:tcW w:type="dxa" w:w="960"/>
          </w:tcPr>
          <w:p>
            <w:r>
              <w:t>Veradermics, Incorporated</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22.44%</w:t>
            </w:r>
          </w:p>
        </w:tc>
        <w:tc>
          <w:tcPr>
            <w:tcW w:type="dxa" w:w="960"/>
          </w:tcPr>
          <w:p>
            <w:r>
              <w:t>1.047</w:t>
            </w:r>
          </w:p>
        </w:tc>
        <w:tc>
          <w:tcPr>
            <w:tcW w:type="dxa" w:w="960"/>
          </w:tcPr>
          <w:p>
            <w:r>
              <w:t>0.88</w:t>
            </w:r>
          </w:p>
        </w:tc>
        <w:tc>
          <w:tcPr>
            <w:tcW w:type="dxa" w:w="960"/>
          </w:tcPr>
          <w:p>
            <w:r>
              <w:t>股价突破布林线上轨，但成交量确认不足，可能是假突破，需要下一交易日确认。</w:t>
            </w:r>
          </w:p>
        </w:tc>
      </w:tr>
      <w:tr>
        <w:tc>
          <w:tcPr>
            <w:tcW w:type="dxa" w:w="960"/>
          </w:tcPr>
          <w:p>
            <w:r>
              <w:t>LITE</w:t>
            </w:r>
          </w:p>
        </w:tc>
        <w:tc>
          <w:tcPr>
            <w:tcW w:type="dxa" w:w="960"/>
          </w:tcPr>
          <w:p>
            <w:r>
              <w:t>Lumentum Holdings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19.09%</w:t>
            </w:r>
          </w:p>
        </w:tc>
        <w:tc>
          <w:tcPr>
            <w:tcW w:type="dxa" w:w="960"/>
          </w:tcPr>
          <w:p>
            <w:r>
              <w:t>0.595</w:t>
            </w:r>
          </w:p>
        </w:tc>
        <w:tc>
          <w:tcPr>
            <w:tcW w:type="dxa" w:w="960"/>
          </w:tcPr>
          <w:p>
            <w:r>
              <w:t>0.83</w:t>
            </w:r>
          </w:p>
        </w:tc>
        <w:tc>
          <w:tcPr>
            <w:tcW w:type="dxa" w:w="960"/>
          </w:tcPr>
          <w:p>
            <w:r>
              <w:t>布林带收口，说明波动率下降，股价可能处于蓄势阶段，但方向尚未确认。</w:t>
            </w:r>
          </w:p>
        </w:tc>
      </w:tr>
      <w:tr>
        <w:tc>
          <w:tcPr>
            <w:tcW w:type="dxa" w:w="960"/>
          </w:tcPr>
          <w:p>
            <w:r>
              <w:t>AAOI</w:t>
            </w:r>
          </w:p>
        </w:tc>
        <w:tc>
          <w:tcPr>
            <w:tcW w:type="dxa" w:w="960"/>
          </w:tcPr>
          <w:p>
            <w:r>
              <w:t>Applied Optoelectronics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18.81%</w:t>
            </w:r>
          </w:p>
        </w:tc>
        <w:tc>
          <w:tcPr>
            <w:tcW w:type="dxa" w:w="960"/>
          </w:tcPr>
          <w:p>
            <w:r>
              <w:t>0.357</w:t>
            </w:r>
          </w:p>
        </w:tc>
        <w:tc>
          <w:tcPr>
            <w:tcW w:type="dxa" w:w="960"/>
          </w:tcPr>
          <w:p>
            <w:r>
              <w:t>0.83</w:t>
            </w:r>
          </w:p>
        </w:tc>
        <w:tc>
          <w:tcPr>
            <w:tcW w:type="dxa" w:w="960"/>
          </w:tcPr>
          <w:p>
            <w:r>
              <w:t>布林带收口，说明波动率下降，股价可能处于蓄势阶段，但方向尚未确认。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强收口：Bandwidth低于近8个月10%分位且持续8天；中轨附近窄幅震荡；低位形态</w:t>
            </w:r>
          </w:p>
        </w:tc>
        <w:tc>
          <w:tcPr>
            <w:tcW w:type="dxa" w:w="960"/>
          </w:tcPr>
          <w:p>
            <w:r>
              <w:t>中轨附近</w:t>
            </w:r>
          </w:p>
        </w:tc>
        <w:tc>
          <w:tcPr>
            <w:tcW w:type="dxa" w:w="960"/>
          </w:tcPr>
          <w:p>
            <w:r>
              <w:t>19.32%</w:t>
            </w:r>
          </w:p>
        </w:tc>
        <w:tc>
          <w:tcPr>
            <w:tcW w:type="dxa" w:w="960"/>
          </w:tcPr>
          <w:p>
            <w:r>
              <w:t>0.529</w:t>
            </w:r>
          </w:p>
        </w:tc>
        <w:tc>
          <w:tcPr>
            <w:tcW w:type="dxa" w:w="960"/>
          </w:tcPr>
          <w:p>
            <w:r>
              <w:t>0.81</w:t>
            </w:r>
          </w:p>
        </w:tc>
        <w:tc>
          <w:tcPr>
            <w:tcW w:type="dxa" w:w="960"/>
          </w:tcPr>
          <w:p>
            <w:r>
              <w:t>布林带收口，说明波动率下降，股价可能处于蓄势阶段，但方向尚未确认。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4.87%</w:t>
            </w:r>
          </w:p>
        </w:tc>
        <w:tc>
          <w:tcPr>
            <w:tcW w:type="dxa" w:w="960"/>
          </w:tcPr>
          <w:p>
            <w:r>
              <w:t>0.436</w:t>
            </w:r>
          </w:p>
        </w:tc>
        <w:tc>
          <w:tcPr>
            <w:tcW w:type="dxa" w:w="960"/>
          </w:tcPr>
          <w:p>
            <w:r>
              <w:t>0.78</w:t>
            </w:r>
          </w:p>
        </w:tc>
        <w:tc>
          <w:tcPr>
            <w:tcW w:type="dxa" w:w="960"/>
          </w:tcPr>
          <w:p>
            <w:r>
              <w:t>布林带收口，说明波动率下降，股价可能处于蓄势阶段，但方向尚未确认。</w:t>
            </w:r>
          </w:p>
        </w:tc>
      </w:tr>
      <w:tr>
        <w:tc>
          <w:tcPr>
            <w:tcW w:type="dxa" w:w="960"/>
          </w:tcPr>
          <w:p>
            <w:r>
              <w:t>OKLO</w:t>
            </w:r>
          </w:p>
        </w:tc>
        <w:tc>
          <w:tcPr>
            <w:tcW w:type="dxa" w:w="960"/>
          </w:tcPr>
          <w:p>
            <w:r>
              <w:t>Oklo</w:t>
            </w:r>
          </w:p>
        </w:tc>
        <w:tc>
          <w:tcPr>
            <w:tcW w:type="dxa" w:w="960"/>
          </w:tcPr>
          <w:p>
            <w:r>
              <w:t>C 观察信号</w:t>
            </w:r>
          </w:p>
        </w:tc>
        <w:tc>
          <w:tcPr>
            <w:tcW w:type="dxa" w:w="960"/>
          </w:tcPr>
          <w:p>
            <w:r>
              <w:t>弱收口：Bandwidth连续22天维持低于近8个月30%分位；中轨附近窄幅震荡；低位形态</w:t>
            </w:r>
          </w:p>
        </w:tc>
        <w:tc>
          <w:tcPr>
            <w:tcW w:type="dxa" w:w="960"/>
          </w:tcPr>
          <w:p>
            <w:r>
              <w:t>中轨附近</w:t>
            </w:r>
          </w:p>
        </w:tc>
        <w:tc>
          <w:tcPr>
            <w:tcW w:type="dxa" w:w="960"/>
          </w:tcPr>
          <w:p>
            <w:r>
              <w:t>21.94%</w:t>
            </w:r>
          </w:p>
        </w:tc>
        <w:tc>
          <w:tcPr>
            <w:tcW w:type="dxa" w:w="960"/>
          </w:tcPr>
          <w:p>
            <w:r>
              <w:t>0.374</w:t>
            </w:r>
          </w:p>
        </w:tc>
        <w:tc>
          <w:tcPr>
            <w:tcW w:type="dxa" w:w="960"/>
          </w:tcPr>
          <w:p>
            <w:r>
              <w:t>0.72</w:t>
            </w:r>
          </w:p>
        </w:tc>
        <w:tc>
          <w:tcPr>
            <w:tcW w:type="dxa" w:w="960"/>
          </w:tcPr>
          <w:p>
            <w:r>
              <w:t>布林带收口，说明波动率下降，股价可能处于蓄势阶段，但方向尚未确认。</w:t>
            </w:r>
          </w:p>
        </w:tc>
      </w:tr>
      <w:tr>
        <w:tc>
          <w:tcPr>
            <w:tcW w:type="dxa" w:w="960"/>
          </w:tcPr>
          <w:p>
            <w:r>
              <w:t>NVTS</w:t>
            </w:r>
          </w:p>
        </w:tc>
        <w:tc>
          <w:tcPr>
            <w:tcW w:type="dxa" w:w="960"/>
          </w:tcPr>
          <w:p>
            <w:r>
              <w:t>Navitas Semiconductor</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18.54%</w:t>
            </w:r>
          </w:p>
        </w:tc>
        <w:tc>
          <w:tcPr>
            <w:tcW w:type="dxa" w:w="960"/>
          </w:tcPr>
          <w:p>
            <w:r>
              <w:t>0.658</w:t>
            </w:r>
          </w:p>
        </w:tc>
        <w:tc>
          <w:tcPr>
            <w:tcW w:type="dxa" w:w="960"/>
          </w:tcPr>
          <w:p>
            <w:r>
              <w:t>0.71</w:t>
            </w:r>
          </w:p>
        </w:tc>
        <w:tc>
          <w:tcPr>
            <w:tcW w:type="dxa" w:w="960"/>
          </w:tcPr>
          <w:p>
            <w:r>
              <w:t>布林带收口，说明波动率下降，股价可能处于蓄势阶段，但方向尚未确认。</w:t>
            </w:r>
          </w:p>
        </w:tc>
      </w:tr>
      <w:tr>
        <w:tc>
          <w:tcPr>
            <w:tcW w:type="dxa" w:w="960"/>
          </w:tcPr>
          <w:p>
            <w:r>
              <w:t>SHAZ</w:t>
            </w:r>
          </w:p>
        </w:tc>
        <w:tc>
          <w:tcPr>
            <w:tcW w:type="dxa" w:w="960"/>
          </w:tcPr>
          <w:p>
            <w:r>
              <w:t>Shaz</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20.03%</w:t>
            </w:r>
          </w:p>
        </w:tc>
        <w:tc>
          <w:tcPr>
            <w:tcW w:type="dxa" w:w="960"/>
          </w:tcPr>
          <w:p>
            <w:r>
              <w:t>0.551</w:t>
            </w:r>
          </w:p>
        </w:tc>
        <w:tc>
          <w:tcPr>
            <w:tcW w:type="dxa" w:w="960"/>
          </w:tcPr>
          <w:p>
            <w:r>
              <w:t>0.58</w:t>
            </w:r>
          </w:p>
        </w:tc>
        <w:tc>
          <w:tcPr>
            <w:tcW w:type="dxa" w:w="960"/>
          </w:tcPr>
          <w:p>
            <w:r>
              <w:t>布林带收口，说明波动率下降，股价可能处于蓄势阶段，但方向尚未确认。</w:t>
            </w:r>
          </w:p>
        </w:tc>
      </w:tr>
    </w:tbl>
    <w:p>
      <w:pPr>
        <w:pStyle w:val="Heading2"/>
      </w:pPr>
      <w:r>
        <w:t>二、重点结论</w:t>
      </w:r>
    </w:p>
    <w:p>
      <w:pPr>
        <w:pStyle w:val="ListBullet"/>
      </w:pPr>
      <w:r>
        <w:t>强信号：IONQ, NBIS, INOD。</w:t>
      </w:r>
    </w:p>
    <w:p>
      <w:pPr>
        <w:pStyle w:val="ListBullet"/>
      </w:pPr>
      <w:r>
        <w:t>中等信号：BB, ONDS, CORZ。</w:t>
      </w:r>
    </w:p>
    <w:p>
      <w:pPr>
        <w:pStyle w:val="ListBullet"/>
      </w:pPr>
      <w:r>
        <w:t>观察信号：RKLB, INTC, VICR, VELO, NNE, MANE, LITE, AAOI, POET, MSFT, OKLO, NVTS, SHAZ。</w:t>
      </w:r>
    </w:p>
    <w:p>
      <w:pPr>
        <w:pStyle w:val="ListBullet"/>
      </w:pPr>
      <w:r>
        <w:t>今日优先复核：IONQ, NBIS, INOD, BB, ONDS。优先看是否放量、能否站稳上轨或中轨。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IONQ - IonQ</w:t>
      </w:r>
    </w:p>
    <w:p>
      <w:pPr>
        <w:pStyle w:val="ListBullet"/>
      </w:pPr>
      <w:r>
        <w:t>信号等级：A 强信号</w:t>
      </w:r>
    </w:p>
    <w:p>
      <w:pPr>
        <w:pStyle w:val="ListBullet"/>
      </w:pPr>
      <w:r>
        <w:t>最新收盘价：$44.98</w:t>
      </w:r>
    </w:p>
    <w:p>
      <w:pPr>
        <w:pStyle w:val="ListBullet"/>
      </w:pPr>
      <w:r>
        <w:t>BOLL：上轨 $43.63；中轨 $39.34；下轨 $35.04</w:t>
      </w:r>
    </w:p>
    <w:p>
      <w:pPr>
        <w:pStyle w:val="ListBullet"/>
      </w:pPr>
      <w:r>
        <w:t>Bandwidth：21.83%；历史分位：6.55%；%B：1.157</w:t>
      </w:r>
    </w:p>
    <w:p>
      <w:pPr>
        <w:pStyle w:val="ListBullet"/>
      </w:pPr>
      <w:r>
        <w:t>成交量：当日 43070400；20日均量 23370790；量比 1.84</w:t>
      </w:r>
    </w:p>
    <w:p>
      <w:pPr>
        <w:pStyle w:val="ListBullet"/>
      </w:pPr>
      <w:r>
        <w:t>触发信号：布林带向上开口（最近2天）；成交量放大；放量突破上轨-强；中轨反弹并接近上轨；成交量放大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NBIS - Nebius Group</w:t>
      </w:r>
    </w:p>
    <w:p>
      <w:pPr>
        <w:pStyle w:val="ListBullet"/>
      </w:pPr>
      <w:r>
        <w:t>信号等级：A 强信号</w:t>
      </w:r>
    </w:p>
    <w:p>
      <w:pPr>
        <w:pStyle w:val="ListBullet"/>
      </w:pPr>
      <w:r>
        <w:t>最新收盘价：$243.48</w:t>
      </w:r>
    </w:p>
    <w:p>
      <w:pPr>
        <w:pStyle w:val="ListBullet"/>
      </w:pPr>
      <w:r>
        <w:t>BOLL：上轨 $247.60；中轨 $221.05；下轨 $194.50</w:t>
      </w:r>
    </w:p>
    <w:p>
      <w:pPr>
        <w:pStyle w:val="ListBullet"/>
      </w:pPr>
      <w:r>
        <w:t>Bandwidth：24.02%；历史分位：6.55%；%B：0.922</w:t>
      </w:r>
    </w:p>
    <w:p>
      <w:pPr>
        <w:pStyle w:val="ListBullet"/>
      </w:pPr>
      <w:r>
        <w:t>成交量：当日 24292300；20日均量 15398380；量比 1.58</w:t>
      </w:r>
    </w:p>
    <w:p>
      <w:pPr>
        <w:pStyle w:val="ListBullet"/>
      </w:pPr>
      <w:r>
        <w:t>触发信号：布林带向上开口（最近5天）；成交量放大；中轨反弹并接近上轨；成交量放大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INOD - Innodata</w:t>
      </w:r>
    </w:p>
    <w:p>
      <w:pPr>
        <w:pStyle w:val="ListBullet"/>
      </w:pPr>
      <w:r>
        <w:t>信号等级：A 强信号</w:t>
      </w:r>
    </w:p>
    <w:p>
      <w:pPr>
        <w:pStyle w:val="ListBullet"/>
      </w:pPr>
      <w:r>
        <w:t>最新收盘价：$71.87</w:t>
      </w:r>
    </w:p>
    <w:p>
      <w:pPr>
        <w:pStyle w:val="ListBullet"/>
      </w:pPr>
      <w:r>
        <w:t>BOLL：上轨 $69.78；中轨 $58.15；下轨 $46.52</w:t>
      </w:r>
    </w:p>
    <w:p>
      <w:pPr>
        <w:pStyle w:val="ListBullet"/>
      </w:pPr>
      <w:r>
        <w:t>Bandwidth：40.00%；历史分位：70.83%；%B：1.090</w:t>
      </w:r>
    </w:p>
    <w:p>
      <w:pPr>
        <w:pStyle w:val="ListBullet"/>
      </w:pPr>
      <w:r>
        <w:t>成交量：当日 1806700；20日均量 1389075；量比 1.30</w:t>
      </w:r>
    </w:p>
    <w:p>
      <w:pPr>
        <w:pStyle w:val="ListBullet"/>
      </w:pPr>
      <w:r>
        <w:t>触发信号：布林带向上开口（最近3天）；成交量放大；放量突破上轨-中；连续2日站上上轨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BB - BlackBerry</w:t>
      </w:r>
    </w:p>
    <w:p>
      <w:pPr>
        <w:pStyle w:val="ListBullet"/>
      </w:pPr>
      <w:r>
        <w:t>信号等级：B 中等信号</w:t>
      </w:r>
    </w:p>
    <w:p>
      <w:pPr>
        <w:pStyle w:val="ListBullet"/>
      </w:pPr>
      <w:r>
        <w:t>最新收盘价：$8.73</w:t>
      </w:r>
    </w:p>
    <w:p>
      <w:pPr>
        <w:pStyle w:val="ListBullet"/>
      </w:pPr>
      <w:r>
        <w:t>BOLL：上轨 $8.75；中轨 $8.00；下轨 $7.25</w:t>
      </w:r>
    </w:p>
    <w:p>
      <w:pPr>
        <w:pStyle w:val="ListBullet"/>
      </w:pPr>
      <w:r>
        <w:t>Bandwidth：18.74%；历史分位：37.50%；%B：0.987</w:t>
      </w:r>
    </w:p>
    <w:p>
      <w:pPr>
        <w:pStyle w:val="ListBullet"/>
      </w:pPr>
      <w:r>
        <w:t>成交量：当日 45605900；20日均量 13828200；量比 3.30</w:t>
      </w:r>
    </w:p>
    <w:p>
      <w:pPr>
        <w:pStyle w:val="ListBullet"/>
      </w:pPr>
      <w:r>
        <w:t>触发信号：布林带向上开口（最近4天）；成交量放大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ONDS - Ondas Holdings</w:t>
      </w:r>
    </w:p>
    <w:p>
      <w:pPr>
        <w:pStyle w:val="ListBullet"/>
      </w:pPr>
      <w:r>
        <w:t>信号等级：B 中等信号</w:t>
      </w:r>
    </w:p>
    <w:p>
      <w:pPr>
        <w:pStyle w:val="ListBullet"/>
      </w:pPr>
      <w:r>
        <w:t>最新收盘价：$7.60</w:t>
      </w:r>
    </w:p>
    <w:p>
      <w:pPr>
        <w:pStyle w:val="ListBullet"/>
      </w:pPr>
      <w:r>
        <w:t>BOLL：上轨 $8.22；中轨 $7.51；下轨 $6.80</w:t>
      </w:r>
    </w:p>
    <w:p>
      <w:pPr>
        <w:pStyle w:val="ListBullet"/>
      </w:pPr>
      <w:r>
        <w:t>Bandwidth：18.96%；历史分位：6.55%；%B：0.565</w:t>
      </w:r>
    </w:p>
    <w:p>
      <w:pPr>
        <w:pStyle w:val="ListBullet"/>
      </w:pPr>
      <w:r>
        <w:t>成交量：当日 114411100；20日均量 65198465；量比 1.75</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CORZ - Core Scientific, Inc.</w:t>
      </w:r>
    </w:p>
    <w:p>
      <w:pPr>
        <w:pStyle w:val="ListBullet"/>
      </w:pPr>
      <w:r>
        <w:t>信号等级：B 中等信号</w:t>
      </w:r>
    </w:p>
    <w:p>
      <w:pPr>
        <w:pStyle w:val="ListBullet"/>
      </w:pPr>
      <w:r>
        <w:t>最新收盘价：$18.12</w:t>
      </w:r>
    </w:p>
    <w:p>
      <w:pPr>
        <w:pStyle w:val="ListBullet"/>
      </w:pPr>
      <w:r>
        <w:t>BOLL：上轨 $18.95；中轨 $17.41；下轨 $15.87</w:t>
      </w:r>
    </w:p>
    <w:p>
      <w:pPr>
        <w:pStyle w:val="ListBullet"/>
      </w:pPr>
      <w:r>
        <w:t>Bandwidth：17.68%；历史分位：8.33%；%B：0.730</w:t>
      </w:r>
    </w:p>
    <w:p>
      <w:pPr>
        <w:pStyle w:val="ListBullet"/>
      </w:pPr>
      <w:r>
        <w:t>成交量：当日 12999300；20日均量 11527215；量比 1.13</w:t>
      </w:r>
    </w:p>
    <w:p>
      <w:pPr>
        <w:pStyle w:val="ListBullet"/>
      </w:pPr>
      <w:r>
        <w:t>触发信号：下轨反弹：处于中轨与上轨之间；成交量温和改善；低位形态</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RKLB - Rocket Lab USA</w:t>
      </w:r>
    </w:p>
    <w:p>
      <w:pPr>
        <w:pStyle w:val="ListBullet"/>
      </w:pPr>
      <w:r>
        <w:t>信号等级：C 观察信号</w:t>
      </w:r>
    </w:p>
    <w:p>
      <w:pPr>
        <w:pStyle w:val="ListBullet"/>
      </w:pPr>
      <w:r>
        <w:t>最新收盘价：$73.61</w:t>
      </w:r>
    </w:p>
    <w:p>
      <w:pPr>
        <w:pStyle w:val="ListBullet"/>
      </w:pPr>
      <w:r>
        <w:t>BOLL：上轨 $72.26；中轨 $65.57；下轨 $58.88</w:t>
      </w:r>
    </w:p>
    <w:p>
      <w:pPr>
        <w:pStyle w:val="ListBullet"/>
      </w:pPr>
      <w:r>
        <w:t>Bandwidth：20.41%；历史分位：15.48%；%B：1.101</w:t>
      </w:r>
    </w:p>
    <w:p>
      <w:pPr>
        <w:pStyle w:val="ListBullet"/>
      </w:pPr>
      <w:r>
        <w:t>成交量：当日 25137100；20日均量 19743720；量比 1.27</w:t>
      </w:r>
    </w:p>
    <w:p>
      <w:pPr>
        <w:pStyle w:val="ListBullet"/>
      </w:pPr>
      <w:r>
        <w:t>触发信号：突破上轨但量能不足-弱；低位形态</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INTC - Intel</w:t>
      </w:r>
    </w:p>
    <w:p>
      <w:pPr>
        <w:pStyle w:val="ListBullet"/>
      </w:pPr>
      <w:r>
        <w:t>信号等级：C 观察信号</w:t>
      </w:r>
    </w:p>
    <w:p>
      <w:pPr>
        <w:pStyle w:val="ListBullet"/>
      </w:pPr>
      <w:r>
        <w:t>最新收盘价：$127.39</w:t>
      </w:r>
    </w:p>
    <w:p>
      <w:pPr>
        <w:pStyle w:val="ListBullet"/>
      </w:pPr>
      <w:r>
        <w:t>BOLL：上轨 $127.30；中轨 $103.00；下轨 $78.70</w:t>
      </w:r>
    </w:p>
    <w:p>
      <w:pPr>
        <w:pStyle w:val="ListBullet"/>
      </w:pPr>
      <w:r>
        <w:t>Bandwidth：47.19%；历史分位：79.76%；%B：1.002</w:t>
      </w:r>
    </w:p>
    <w:p>
      <w:pPr>
        <w:pStyle w:val="ListBullet"/>
      </w:pPr>
      <w:r>
        <w:t>成交量：当日 118949000；20日均量 105837385；量比 1.12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VICR - Vicor Corporation</w:t>
      </w:r>
    </w:p>
    <w:p>
      <w:pPr>
        <w:pStyle w:val="ListBullet"/>
      </w:pPr>
      <w:r>
        <w:t>信号等级：C 观察信号</w:t>
      </w:r>
    </w:p>
    <w:p>
      <w:pPr>
        <w:pStyle w:val="ListBullet"/>
      </w:pPr>
      <w:r>
        <w:t>最新收盘价：$276.06</w:t>
      </w:r>
    </w:p>
    <w:p>
      <w:pPr>
        <w:pStyle w:val="ListBullet"/>
      </w:pPr>
      <w:r>
        <w:t>BOLL：上轨 $260.41；中轨 $201.46；下轨 $142.51</w:t>
      </w:r>
    </w:p>
    <w:p>
      <w:pPr>
        <w:pStyle w:val="ListBullet"/>
      </w:pPr>
      <w:r>
        <w:t>Bandwidth：58.52%；历史分位：88.69%；%B：1.133</w:t>
      </w:r>
    </w:p>
    <w:p>
      <w:pPr>
        <w:pStyle w:val="ListBullet"/>
      </w:pPr>
      <w:r>
        <w:t>成交量：当日 856800；20日均量 811445；量比 1.06</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VELO - Velo3D, Inc.</w:t>
      </w:r>
    </w:p>
    <w:p>
      <w:pPr>
        <w:pStyle w:val="ListBullet"/>
      </w:pPr>
      <w:r>
        <w:t>信号等级：C 观察信号</w:t>
      </w:r>
    </w:p>
    <w:p>
      <w:pPr>
        <w:pStyle w:val="ListBullet"/>
      </w:pPr>
      <w:r>
        <w:t>最新收盘价：$11.02</w:t>
      </w:r>
    </w:p>
    <w:p>
      <w:pPr>
        <w:pStyle w:val="ListBullet"/>
      </w:pPr>
      <w:r>
        <w:t>BOLL：上轨 $12.79；中轨 $11.17；下轨 $9.55</w:t>
      </w:r>
    </w:p>
    <w:p>
      <w:pPr>
        <w:pStyle w:val="ListBullet"/>
      </w:pPr>
      <w:r>
        <w:t>Bandwidth：28.99%；历史分位：0.60%；%B：0.454</w:t>
      </w:r>
    </w:p>
    <w:p>
      <w:pPr>
        <w:pStyle w:val="ListBullet"/>
      </w:pPr>
      <w:r>
        <w:t>成交量：当日 905500；20日均量 901150；量比 1.00</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NNE - Nano Nuclear Energy Inc.</w:t>
      </w:r>
    </w:p>
    <w:p>
      <w:pPr>
        <w:pStyle w:val="ListBullet"/>
      </w:pPr>
      <w:r>
        <w:t>信号等级：C 观察信号</w:t>
      </w:r>
    </w:p>
    <w:p>
      <w:pPr>
        <w:pStyle w:val="ListBullet"/>
      </w:pPr>
      <w:r>
        <w:t>最新收盘价：$17.02</w:t>
      </w:r>
    </w:p>
    <w:p>
      <w:pPr>
        <w:pStyle w:val="ListBullet"/>
      </w:pPr>
      <w:r>
        <w:t>BOLL：上轨 $19.47；中轨 $17.34；下轨 $15.22</w:t>
      </w:r>
    </w:p>
    <w:p>
      <w:pPr>
        <w:pStyle w:val="ListBullet"/>
      </w:pPr>
      <w:r>
        <w:t>Bandwidth：24.51%；历史分位：20.83%；%B：0.424</w:t>
      </w:r>
    </w:p>
    <w:p>
      <w:pPr>
        <w:pStyle w:val="ListBullet"/>
      </w:pPr>
      <w:r>
        <w:t>成交量：当日 1887100；20日均量 1920730；量比 0.98</w:t>
      </w:r>
    </w:p>
    <w:p>
      <w:pPr>
        <w:pStyle w:val="ListBullet"/>
      </w:pPr>
      <w:r>
        <w:t>触发信号：弱收口：Bandwidth连续20天维持低于近8个月30%分位；中轨附近窄幅震荡；低位形态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MANE - Veradermics, Incorporated</w:t>
      </w:r>
    </w:p>
    <w:p>
      <w:pPr>
        <w:pStyle w:val="ListBullet"/>
      </w:pPr>
      <w:r>
        <w:t>信号等级：C 观察信号</w:t>
      </w:r>
    </w:p>
    <w:p>
      <w:pPr>
        <w:pStyle w:val="ListBullet"/>
      </w:pPr>
      <w:r>
        <w:t>最新收盘价：$115.72</w:t>
      </w:r>
    </w:p>
    <w:p>
      <w:pPr>
        <w:pStyle w:val="ListBullet"/>
      </w:pPr>
      <w:r>
        <w:t>BOLL：上轨 $114.64；中轨 $103.08；下轨 $91.51</w:t>
      </w:r>
    </w:p>
    <w:p>
      <w:pPr>
        <w:pStyle w:val="ListBullet"/>
      </w:pPr>
      <w:r>
        <w:t>Bandwidth：22.44%；历史分位：41.84%；%B：1.047</w:t>
      </w:r>
    </w:p>
    <w:p>
      <w:pPr>
        <w:pStyle w:val="ListBullet"/>
      </w:pPr>
      <w:r>
        <w:t>成交量：当日 580700；20日均量 656740；量比 0.88</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LITE - Lumentum Holdings</w:t>
      </w:r>
    </w:p>
    <w:p>
      <w:pPr>
        <w:pStyle w:val="ListBullet"/>
      </w:pPr>
      <w:r>
        <w:t>信号等级：C 观察信号</w:t>
      </w:r>
    </w:p>
    <w:p>
      <w:pPr>
        <w:pStyle w:val="ListBullet"/>
      </w:pPr>
      <w:r>
        <w:t>最新收盘价：$929.04</w:t>
      </w:r>
    </w:p>
    <w:p>
      <w:pPr>
        <w:pStyle w:val="ListBullet"/>
      </w:pPr>
      <w:r>
        <w:t>BOLL：上轨 $999.53；中轨 $912.42；下轨 $825.31</w:t>
      </w:r>
    </w:p>
    <w:p>
      <w:pPr>
        <w:pStyle w:val="ListBullet"/>
      </w:pPr>
      <w:r>
        <w:t>Bandwidth：19.09%；历史分位：1.79%；%B：0.595</w:t>
      </w:r>
    </w:p>
    <w:p>
      <w:pPr>
        <w:pStyle w:val="ListBullet"/>
      </w:pPr>
      <w:r>
        <w:t>成交量：当日 3671300；20日均量 4399585；量比 0.83</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AAOI - Applied Optoelectronics</w:t>
      </w:r>
    </w:p>
    <w:p>
      <w:pPr>
        <w:pStyle w:val="ListBullet"/>
      </w:pPr>
      <w:r>
        <w:t>信号等级：C 观察信号</w:t>
      </w:r>
    </w:p>
    <w:p>
      <w:pPr>
        <w:pStyle w:val="ListBullet"/>
      </w:pPr>
      <w:r>
        <w:t>最新收盘价：$101.03</w:t>
      </w:r>
    </w:p>
    <w:p>
      <w:pPr>
        <w:pStyle w:val="ListBullet"/>
      </w:pPr>
      <w:r>
        <w:t>BOLL：上轨 $113.59；中轨 $103.83；下轨 $94.06</w:t>
      </w:r>
    </w:p>
    <w:p>
      <w:pPr>
        <w:pStyle w:val="ListBullet"/>
      </w:pPr>
      <w:r>
        <w:t>Bandwidth：18.81%；历史分位：0.60%；%B：0.357</w:t>
      </w:r>
    </w:p>
    <w:p>
      <w:pPr>
        <w:pStyle w:val="ListBullet"/>
      </w:pPr>
      <w:r>
        <w:t>成交量：当日 5533800；20日均量 6641225；量比 0.83</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POET - POET Technologies</w:t>
      </w:r>
    </w:p>
    <w:p>
      <w:pPr>
        <w:pStyle w:val="ListBullet"/>
      </w:pPr>
      <w:r>
        <w:t>信号等级：C 观察信号</w:t>
      </w:r>
    </w:p>
    <w:p>
      <w:pPr>
        <w:pStyle w:val="ListBullet"/>
      </w:pPr>
      <w:r>
        <w:t>最新收盘价：$7.75</w:t>
      </w:r>
    </w:p>
    <w:p>
      <w:pPr>
        <w:pStyle w:val="ListBullet"/>
      </w:pPr>
      <w:r>
        <w:t>BOLL：上轨 $8.45；中轨 $7.71；下轨 $6.96</w:t>
      </w:r>
    </w:p>
    <w:p>
      <w:pPr>
        <w:pStyle w:val="ListBullet"/>
      </w:pPr>
      <w:r>
        <w:t>Bandwidth：19.32%；历史分位：1.19%；%B：0.529</w:t>
      </w:r>
    </w:p>
    <w:p>
      <w:pPr>
        <w:pStyle w:val="ListBullet"/>
      </w:pPr>
      <w:r>
        <w:t>成交量：当日 6790400；20日均量 8393240；量比 0.81</w:t>
      </w:r>
    </w:p>
    <w:p>
      <w:pPr>
        <w:pStyle w:val="ListBullet"/>
      </w:pPr>
      <w:r>
        <w:t>触发信号：强收口：Bandwidth低于近8个月10%分位且持续8天；中轨附近窄幅震荡；低位形态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最新收盘价：$497.93</w:t>
      </w:r>
    </w:p>
    <w:p>
      <w:pPr>
        <w:pStyle w:val="ListBullet"/>
      </w:pPr>
      <w:r>
        <w:t>BOLL：上轨 $511.65；中轨 $499.49；下轨 $487.32</w:t>
      </w:r>
    </w:p>
    <w:p>
      <w:pPr>
        <w:pStyle w:val="ListBullet"/>
      </w:pPr>
      <w:r>
        <w:t>Bandwidth：4.87%；历史分位：0.60%；%B：0.436</w:t>
      </w:r>
    </w:p>
    <w:p>
      <w:pPr>
        <w:pStyle w:val="ListBullet"/>
      </w:pPr>
      <w:r>
        <w:t>成交量：当日 16637200；20日均量 21337655；量比 0.78</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OKLO - Oklo</w:t>
      </w:r>
    </w:p>
    <w:p>
      <w:pPr>
        <w:pStyle w:val="ListBullet"/>
      </w:pPr>
      <w:r>
        <w:t>信号等级：C 观察信号</w:t>
      </w:r>
    </w:p>
    <w:p>
      <w:pPr>
        <w:pStyle w:val="ListBullet"/>
      </w:pPr>
      <w:r>
        <w:t>最新收盘价：$38.29</w:t>
      </w:r>
    </w:p>
    <w:p>
      <w:pPr>
        <w:pStyle w:val="ListBullet"/>
      </w:pPr>
      <w:r>
        <w:t>BOLL：上轨 $43.70；中轨 $39.38；下轨 $35.06</w:t>
      </w:r>
    </w:p>
    <w:p>
      <w:pPr>
        <w:pStyle w:val="ListBullet"/>
      </w:pPr>
      <w:r>
        <w:t>Bandwidth：21.94%；历史分位：13.10%；%B：0.374</w:t>
      </w:r>
    </w:p>
    <w:p>
      <w:pPr>
        <w:pStyle w:val="ListBullet"/>
      </w:pPr>
      <w:r>
        <w:t>成交量：当日 7337700；20日均量 10226545；量比 0.72</w:t>
      </w:r>
    </w:p>
    <w:p>
      <w:pPr>
        <w:pStyle w:val="ListBullet"/>
      </w:pPr>
      <w:r>
        <w:t>触发信号：弱收口：Bandwidth连续22天维持低于近8个月30%分位；中轨附近窄幅震荡；低位形态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NVTS - Navitas Semiconductor</w:t>
      </w:r>
    </w:p>
    <w:p>
      <w:pPr>
        <w:pStyle w:val="ListBullet"/>
      </w:pPr>
      <w:r>
        <w:t>信号等级：C 观察信号</w:t>
      </w:r>
    </w:p>
    <w:p>
      <w:pPr>
        <w:pStyle w:val="ListBullet"/>
      </w:pPr>
      <w:r>
        <w:t>最新收盘价：$11.84</w:t>
      </w:r>
    </w:p>
    <w:p>
      <w:pPr>
        <w:pStyle w:val="ListBullet"/>
      </w:pPr>
      <w:r>
        <w:t>BOLL：上轨 $12.57；中轨 $11.50；下轨 $10.44</w:t>
      </w:r>
    </w:p>
    <w:p>
      <w:pPr>
        <w:pStyle w:val="ListBullet"/>
      </w:pPr>
      <w:r>
        <w:t>Bandwidth：18.54%；历史分位：0.60%；%B：0.658</w:t>
      </w:r>
    </w:p>
    <w:p>
      <w:pPr>
        <w:pStyle w:val="ListBullet"/>
      </w:pPr>
      <w:r>
        <w:t>成交量：当日 7942500；20日均量 11223400；量比 0.71</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SHAZ - Shaz</w:t>
      </w:r>
    </w:p>
    <w:p>
      <w:pPr>
        <w:pStyle w:val="ListBullet"/>
      </w:pPr>
      <w:r>
        <w:t>信号等级：C 观察信号</w:t>
      </w:r>
    </w:p>
    <w:p>
      <w:pPr>
        <w:pStyle w:val="ListBullet"/>
      </w:pPr>
      <w:r>
        <w:t>最新收盘价：$56.40</w:t>
      </w:r>
    </w:p>
    <w:p>
      <w:pPr>
        <w:pStyle w:val="ListBullet"/>
      </w:pPr>
      <w:r>
        <w:t>BOLL：上轨 $61.43；中轨 $55.83；下轨 $50.24</w:t>
      </w:r>
    </w:p>
    <w:p>
      <w:pPr>
        <w:pStyle w:val="ListBullet"/>
      </w:pPr>
      <w:r>
        <w:t>Bandwidth：20.03%；历史分位：0.76%；%B：0.551</w:t>
      </w:r>
    </w:p>
    <w:p>
      <w:pPr>
        <w:pStyle w:val="ListBullet"/>
      </w:pPr>
      <w:r>
        <w:t>成交量：当日 885700；20日均量 1517930；量比 0.58</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ARM（Arm Holdings）, OPTX（Syntec Optics Holdings）, GLW（Corning）, COHR（Coherent）, MRVL（Marvell Technology）, ALAB（Astera Labs）, FLNC（Fluence Energy）, CRWV（CoreWeave）, ORCL（Oracle）, DELL（Dell Technologies）, SMR（NuScale Power）, QBTS（D-Wave Quantum）, NVDA（NVIDIA）, AMZN（Amazon.com）, AMD（Advanced Micro Devices）, CRCL（Circle Internet Group）, FLY（Firefly Aerospace）, CBRS（Chain Bridge Bancorp）, CIEN（Ciena）, SIVEF（Sivers Semiconductors）, LUNR（Intuitive Machines）, ASTS（AST SpaceMobile）, SPCX（Space Exploration Technologies）, RDW（Redwire Corporation）, QCOM（QUALCOMM Incorporated）, COIN（Coinbase Global, Inc.）, IREN（IREN LIMITED）, GOOG（Alphabet Inc.）, AVGO（Broadcom Inc.）, AMAT（Applied Materials, Inc.）, AMKR（Amkor Technology, Inc.）, LRCX（Lam Research Corporation）, SNDK（Sandisk Corporation）, MU（Micron Technology, Inc.）, CCJ（Cameco Corporation）, BWAY（Brainsway Ltd.）, QSI（Quantum-Si Incorporated）, CRSP（CRISPR Therapeutics AG）, IBRX（ImmunityBio, Inc.）, INSP（Inspire Medical Systems, Inc.）</w:t>
      </w:r>
    </w:p>
    <w:p>
      <w:r>
        <w:br w:type="page"/>
      </w:r>
    </w:p>
    <w:p>
      <w:pPr>
        <w:pStyle w:val="Heading2"/>
      </w:pPr>
      <w:r>
        <w:t>六、触发股票 BOLL 图表</w:t>
      </w:r>
    </w:p>
    <w:p>
      <w:pPr>
        <w:pStyle w:val="Heading3"/>
      </w:pPr>
      <w:r>
        <w:t>IONQ - IonQ</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ONQ_BOLL.png"/>
                    <pic:cNvPicPr/>
                  </pic:nvPicPr>
                  <pic:blipFill>
                    <a:blip r:embed="rId9"/>
                    <a:stretch>
                      <a:fillRect/>
                    </a:stretch>
                  </pic:blipFill>
                  <pic:spPr>
                    <a:xfrm>
                      <a:off x="0" y="0"/>
                      <a:ext cx="6035040" cy="4054793"/>
                    </a:xfrm>
                    <a:prstGeom prst="rect"/>
                  </pic:spPr>
                </pic:pic>
              </a:graphicData>
            </a:graphic>
          </wp:inline>
        </w:drawing>
      </w:r>
    </w:p>
    <w:p>
      <w:pPr>
        <w:pStyle w:val="Heading3"/>
      </w:pPr>
      <w:r>
        <w:t>NBIS - Nebius Group</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NBIS_BOLL.png"/>
                    <pic:cNvPicPr/>
                  </pic:nvPicPr>
                  <pic:blipFill>
                    <a:blip r:embed="rId10"/>
                    <a:stretch>
                      <a:fillRect/>
                    </a:stretch>
                  </pic:blipFill>
                  <pic:spPr>
                    <a:xfrm>
                      <a:off x="0" y="0"/>
                      <a:ext cx="6035040" cy="4054793"/>
                    </a:xfrm>
                    <a:prstGeom prst="rect"/>
                  </pic:spPr>
                </pic:pic>
              </a:graphicData>
            </a:graphic>
          </wp:inline>
        </w:drawing>
      </w:r>
    </w:p>
    <w:p>
      <w:pPr>
        <w:pStyle w:val="Heading3"/>
      </w:pPr>
      <w:r>
        <w:t>INOD - Innodata</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INOD_BOLL.png"/>
                    <pic:cNvPicPr/>
                  </pic:nvPicPr>
                  <pic:blipFill>
                    <a:blip r:embed="rId11"/>
                    <a:stretch>
                      <a:fillRect/>
                    </a:stretch>
                  </pic:blipFill>
                  <pic:spPr>
                    <a:xfrm>
                      <a:off x="0" y="0"/>
                      <a:ext cx="6035040" cy="4054793"/>
                    </a:xfrm>
                    <a:prstGeom prst="rect"/>
                  </pic:spPr>
                </pic:pic>
              </a:graphicData>
            </a:graphic>
          </wp:inline>
        </w:drawing>
      </w:r>
    </w:p>
    <w:p>
      <w:pPr>
        <w:pStyle w:val="Heading3"/>
      </w:pPr>
      <w:r>
        <w:t>BB - BlackBerry</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BB_BOLL.png"/>
                    <pic:cNvPicPr/>
                  </pic:nvPicPr>
                  <pic:blipFill>
                    <a:blip r:embed="rId12"/>
                    <a:stretch>
                      <a:fillRect/>
                    </a:stretch>
                  </pic:blipFill>
                  <pic:spPr>
                    <a:xfrm>
                      <a:off x="0" y="0"/>
                      <a:ext cx="6035040" cy="4054793"/>
                    </a:xfrm>
                    <a:prstGeom prst="rect"/>
                  </pic:spPr>
                </pic:pic>
              </a:graphicData>
            </a:graphic>
          </wp:inline>
        </w:drawing>
      </w:r>
    </w:p>
    <w:p>
      <w:pPr>
        <w:pStyle w:val="Heading3"/>
      </w:pPr>
      <w:r>
        <w:t>ONDS - Ondas Holdings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ONDS_BOLL.png"/>
                    <pic:cNvPicPr/>
                  </pic:nvPicPr>
                  <pic:blipFill>
                    <a:blip r:embed="rId13"/>
                    <a:stretch>
                      <a:fillRect/>
                    </a:stretch>
                  </pic:blipFill>
                  <pic:spPr>
                    <a:xfrm>
                      <a:off x="0" y="0"/>
                      <a:ext cx="6035040" cy="4054793"/>
                    </a:xfrm>
                    <a:prstGeom prst="rect"/>
                  </pic:spPr>
                </pic:pic>
              </a:graphicData>
            </a:graphic>
          </wp:inline>
        </w:drawing>
      </w:r>
    </w:p>
    <w:p>
      <w:pPr>
        <w:pStyle w:val="Heading3"/>
      </w:pPr>
      <w:r>
        <w:t>CORZ - Core Scientific, Inc.</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CORZ_BOLL.png"/>
                    <pic:cNvPicPr/>
                  </pic:nvPicPr>
                  <pic:blipFill>
                    <a:blip r:embed="rId14"/>
                    <a:stretch>
                      <a:fillRect/>
                    </a:stretch>
                  </pic:blipFill>
                  <pic:spPr>
                    <a:xfrm>
                      <a:off x="0" y="0"/>
                      <a:ext cx="6035040" cy="4054793"/>
                    </a:xfrm>
                    <a:prstGeom prst="rect"/>
                  </pic:spPr>
                </pic:pic>
              </a:graphicData>
            </a:graphic>
          </wp:inline>
        </w:drawing>
      </w:r>
    </w:p>
    <w:p>
      <w:pPr>
        <w:pStyle w:val="Heading3"/>
      </w:pPr>
      <w:r>
        <w:t>RKLB - Rocket Lab USA</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RKLB_BOLL.png"/>
                    <pic:cNvPicPr/>
                  </pic:nvPicPr>
                  <pic:blipFill>
                    <a:blip r:embed="rId15"/>
                    <a:stretch>
                      <a:fillRect/>
                    </a:stretch>
                  </pic:blipFill>
                  <pic:spPr>
                    <a:xfrm>
                      <a:off x="0" y="0"/>
                      <a:ext cx="6035040" cy="4054793"/>
                    </a:xfrm>
                    <a:prstGeom prst="rect"/>
                  </pic:spPr>
                </pic:pic>
              </a:graphicData>
            </a:graphic>
          </wp:inline>
        </w:drawing>
      </w:r>
    </w:p>
    <w:p>
      <w:pPr>
        <w:pStyle w:val="Heading3"/>
      </w:pPr>
      <w:r>
        <w:t>INTC - Intel</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INTC_BOLL.png"/>
                    <pic:cNvPicPr/>
                  </pic:nvPicPr>
                  <pic:blipFill>
                    <a:blip r:embed="rId16"/>
                    <a:stretch>
                      <a:fillRect/>
                    </a:stretch>
                  </pic:blipFill>
                  <pic:spPr>
                    <a:xfrm>
                      <a:off x="0" y="0"/>
                      <a:ext cx="6035040" cy="4054793"/>
                    </a:xfrm>
                    <a:prstGeom prst="rect"/>
                  </pic:spPr>
                </pic:pic>
              </a:graphicData>
            </a:graphic>
          </wp:inline>
        </w:drawing>
      </w:r>
    </w:p>
    <w:p>
      <w:pPr>
        <w:pStyle w:val="Heading3"/>
      </w:pPr>
      <w:r>
        <w:t>VICR - Vicor Corporation</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VICR_BOLL.png"/>
                    <pic:cNvPicPr/>
                  </pic:nvPicPr>
                  <pic:blipFill>
                    <a:blip r:embed="rId17"/>
                    <a:stretch>
                      <a:fillRect/>
                    </a:stretch>
                  </pic:blipFill>
                  <pic:spPr>
                    <a:xfrm>
                      <a:off x="0" y="0"/>
                      <a:ext cx="6035040" cy="4054793"/>
                    </a:xfrm>
                    <a:prstGeom prst="rect"/>
                  </pic:spPr>
                </pic:pic>
              </a:graphicData>
            </a:graphic>
          </wp:inline>
        </w:drawing>
      </w:r>
    </w:p>
    <w:p>
      <w:pPr>
        <w:pStyle w:val="Heading3"/>
      </w:pPr>
      <w:r>
        <w:t>VELO - Velo3D, Inc.</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VELO_BOLL.png"/>
                    <pic:cNvPicPr/>
                  </pic:nvPicPr>
                  <pic:blipFill>
                    <a:blip r:embed="rId18"/>
                    <a:stretch>
                      <a:fillRect/>
                    </a:stretch>
                  </pic:blipFill>
                  <pic:spPr>
                    <a:xfrm>
                      <a:off x="0" y="0"/>
                      <a:ext cx="6035040" cy="4054793"/>
                    </a:xfrm>
                    <a:prstGeom prst="rect"/>
                  </pic:spPr>
                </pic:pic>
              </a:graphicData>
            </a:graphic>
          </wp:inline>
        </w:drawing>
      </w:r>
    </w:p>
    <w:p>
      <w:pPr>
        <w:pStyle w:val="Heading3"/>
      </w:pPr>
      <w:r>
        <w:t>NNE - Nano Nuclear Energy Inc.</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NNE_BOLL.png"/>
                    <pic:cNvPicPr/>
                  </pic:nvPicPr>
                  <pic:blipFill>
                    <a:blip r:embed="rId19"/>
                    <a:stretch>
                      <a:fillRect/>
                    </a:stretch>
                  </pic:blipFill>
                  <pic:spPr>
                    <a:xfrm>
                      <a:off x="0" y="0"/>
                      <a:ext cx="6035040" cy="4054793"/>
                    </a:xfrm>
                    <a:prstGeom prst="rect"/>
                  </pic:spPr>
                </pic:pic>
              </a:graphicData>
            </a:graphic>
          </wp:inline>
        </w:drawing>
      </w:r>
    </w:p>
    <w:p>
      <w:pPr>
        <w:pStyle w:val="Heading3"/>
      </w:pPr>
      <w:r>
        <w:t>MANE - Veradermics, Incorporated</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MANE_BOLL.png"/>
                    <pic:cNvPicPr/>
                  </pic:nvPicPr>
                  <pic:blipFill>
                    <a:blip r:embed="rId20"/>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LITE_BOLL.png"/>
                    <pic:cNvPicPr/>
                  </pic:nvPicPr>
                  <pic:blipFill>
                    <a:blip r:embed="rId21"/>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AAOI_BOLL.png"/>
                    <pic:cNvPicPr/>
                  </pic:nvPicPr>
                  <pic:blipFill>
                    <a:blip r:embed="rId22"/>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POET_BOLL.png"/>
                    <pic:cNvPicPr/>
                  </pic:nvPicPr>
                  <pic:blipFill>
                    <a:blip r:embed="rId23"/>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16" name="Picture 16"/>
            <wp:cNvGraphicFramePr>
              <a:graphicFrameLocks noChangeAspect="1"/>
            </wp:cNvGraphicFramePr>
            <a:graphic>
              <a:graphicData uri="http://schemas.openxmlformats.org/drawingml/2006/picture">
                <pic:pic>
                  <pic:nvPicPr>
                    <pic:cNvPr id="0" name="MSFT_BOLL.png"/>
                    <pic:cNvPicPr/>
                  </pic:nvPicPr>
                  <pic:blipFill>
                    <a:blip r:embed="rId24"/>
                    <a:stretch>
                      <a:fillRect/>
                    </a:stretch>
                  </pic:blipFill>
                  <pic:spPr>
                    <a:xfrm>
                      <a:off x="0" y="0"/>
                      <a:ext cx="6035040" cy="4054793"/>
                    </a:xfrm>
                    <a:prstGeom prst="rect"/>
                  </pic:spPr>
                </pic:pic>
              </a:graphicData>
            </a:graphic>
          </wp:inline>
        </w:drawing>
      </w:r>
    </w:p>
    <w:p>
      <w:pPr>
        <w:pStyle w:val="Heading3"/>
      </w:pPr>
      <w:r>
        <w:t>OKLO - Oklo</w:t>
      </w:r>
    </w:p>
    <w:p>
      <w:r>
        <w:drawing>
          <wp:inline xmlns:a="http://schemas.openxmlformats.org/drawingml/2006/main" xmlns:pic="http://schemas.openxmlformats.org/drawingml/2006/picture">
            <wp:extent cx="6035040" cy="4054793"/>
            <wp:docPr id="17" name="Picture 17"/>
            <wp:cNvGraphicFramePr>
              <a:graphicFrameLocks noChangeAspect="1"/>
            </wp:cNvGraphicFramePr>
            <a:graphic>
              <a:graphicData uri="http://schemas.openxmlformats.org/drawingml/2006/picture">
                <pic:pic>
                  <pic:nvPicPr>
                    <pic:cNvPr id="0" name="OKLO_BOLL.png"/>
                    <pic:cNvPicPr/>
                  </pic:nvPicPr>
                  <pic:blipFill>
                    <a:blip r:embed="rId25"/>
                    <a:stretch>
                      <a:fillRect/>
                    </a:stretch>
                  </pic:blipFill>
                  <pic:spPr>
                    <a:xfrm>
                      <a:off x="0" y="0"/>
                      <a:ext cx="6035040" cy="4054793"/>
                    </a:xfrm>
                    <a:prstGeom prst="rect"/>
                  </pic:spPr>
                </pic:pic>
              </a:graphicData>
            </a:graphic>
          </wp:inline>
        </w:drawing>
      </w:r>
    </w:p>
    <w:p>
      <w:pPr>
        <w:pStyle w:val="Heading3"/>
      </w:pPr>
      <w:r>
        <w:t>NVTS - Navitas Semiconductor</w:t>
      </w:r>
    </w:p>
    <w:p>
      <w:r>
        <w:drawing>
          <wp:inline xmlns:a="http://schemas.openxmlformats.org/drawingml/2006/main" xmlns:pic="http://schemas.openxmlformats.org/drawingml/2006/picture">
            <wp:extent cx="6035040" cy="4054793"/>
            <wp:docPr id="18" name="Picture 18"/>
            <wp:cNvGraphicFramePr>
              <a:graphicFrameLocks noChangeAspect="1"/>
            </wp:cNvGraphicFramePr>
            <a:graphic>
              <a:graphicData uri="http://schemas.openxmlformats.org/drawingml/2006/picture">
                <pic:pic>
                  <pic:nvPicPr>
                    <pic:cNvPr id="0" name="NVTS_BOLL.png"/>
                    <pic:cNvPicPr/>
                  </pic:nvPicPr>
                  <pic:blipFill>
                    <a:blip r:embed="rId26"/>
                    <a:stretch>
                      <a:fillRect/>
                    </a:stretch>
                  </pic:blipFill>
                  <pic:spPr>
                    <a:xfrm>
                      <a:off x="0" y="0"/>
                      <a:ext cx="6035040" cy="4054793"/>
                    </a:xfrm>
                    <a:prstGeom prst="rect"/>
                  </pic:spPr>
                </pic:pic>
              </a:graphicData>
            </a:graphic>
          </wp:inline>
        </w:drawing>
      </w:r>
    </w:p>
    <w:p>
      <w:pPr>
        <w:pStyle w:val="Heading3"/>
      </w:pPr>
      <w:r>
        <w:t>SHAZ - Shaz</w:t>
      </w:r>
    </w:p>
    <w:p>
      <w:r>
        <w:drawing>
          <wp:inline xmlns:a="http://schemas.openxmlformats.org/drawingml/2006/main" xmlns:pic="http://schemas.openxmlformats.org/drawingml/2006/picture">
            <wp:extent cx="6035040" cy="4054793"/>
            <wp:docPr id="19" name="Picture 19"/>
            <wp:cNvGraphicFramePr>
              <a:graphicFrameLocks noChangeAspect="1"/>
            </wp:cNvGraphicFramePr>
            <a:graphic>
              <a:graphicData uri="http://schemas.openxmlformats.org/drawingml/2006/picture">
                <pic:pic>
                  <pic:nvPicPr>
                    <pic:cNvPr id="0" name="SHAZ_BOLL.png"/>
                    <pic:cNvPicPr/>
                  </pic:nvPicPr>
                  <pic:blipFill>
                    <a:blip r:embed="rId27"/>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