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- 2026-09-25</w:t>
      </w:r>
    </w:p>
    <w:p>
      <w:pPr>
        <w:pStyle w:val="ListBullet"/>
      </w:pPr>
      <w:r>
        <w:t>生成时间（美东）：2026-09-27 21:44:20 EDT</w:t>
      </w:r>
    </w:p>
    <w:p>
      <w:pPr>
        <w:pStyle w:val="ListBullet"/>
      </w:pPr>
      <w:r>
        <w:t>最新可用交易日：2026-09-25</w:t>
      </w:r>
    </w:p>
    <w:p>
      <w:pPr>
        <w:pStyle w:val="ListBullet"/>
      </w:pPr>
      <w:r>
        <w:t>数据源优先级：Yahoo Chart API -&gt; yfinance（可选备用，无需额外配置）</w:t>
      </w:r>
    </w:p>
    <w:p>
      <w:pPr>
        <w:pStyle w:val="ListBullet"/>
      </w:pPr>
      <w:r>
        <w:t>提醒：当前美东日期不是美股交易日，本次使用最近可用交易日的收盘数据计算。</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FLY</w:t>
            </w:r>
          </w:p>
        </w:tc>
        <w:tc>
          <w:tcPr>
            <w:tcW w:type="dxa" w:w="960"/>
          </w:tcPr>
          <w:p>
            <w:r>
              <w:t>Firefly Aerospace</w:t>
            </w:r>
          </w:p>
        </w:tc>
        <w:tc>
          <w:tcPr>
            <w:tcW w:type="dxa" w:w="960"/>
          </w:tcPr>
          <w:p>
            <w:r>
              <w:t>A 强信号</w:t>
            </w:r>
          </w:p>
        </w:tc>
        <w:tc>
          <w:tcPr>
            <w:tcW w:type="dxa" w:w="960"/>
          </w:tcPr>
          <w:p>
            <w:r>
              <w:t>布林带向上开口（最近2天）；成交量放大；放量突破上轨-强；中轨反弹并接近上轨</w:t>
            </w:r>
          </w:p>
        </w:tc>
        <w:tc>
          <w:tcPr>
            <w:tcW w:type="dxa" w:w="960"/>
          </w:tcPr>
          <w:p>
            <w:r>
              <w:t>突破上轨</w:t>
            </w:r>
          </w:p>
        </w:tc>
        <w:tc>
          <w:tcPr>
            <w:tcW w:type="dxa" w:w="960"/>
          </w:tcPr>
          <w:p>
            <w:r>
              <w:t>19.32%</w:t>
            </w:r>
          </w:p>
        </w:tc>
        <w:tc>
          <w:tcPr>
            <w:tcW w:type="dxa" w:w="960"/>
          </w:tcPr>
          <w:p>
            <w:r>
              <w:t>1.135</w:t>
            </w:r>
          </w:p>
        </w:tc>
        <w:tc>
          <w:tcPr>
            <w:tcW w:type="dxa" w:w="960"/>
          </w:tcPr>
          <w:p>
            <w:r>
              <w:t>1.84</w:t>
            </w:r>
          </w:p>
        </w:tc>
        <w:tc>
          <w:tcPr>
            <w:tcW w:type="dxa" w:w="960"/>
          </w:tcPr>
          <w:p>
            <w:r>
              <w:t>股价放量突破布林线上轨，说明短线多头动能较强，可能进入强势上涨阶段，但也要注意短线过热和回</w:t>
            </w:r>
          </w:p>
        </w:tc>
      </w:tr>
      <w:tr>
        <w:tc>
          <w:tcPr>
            <w:tcW w:type="dxa" w:w="960"/>
          </w:tcPr>
          <w:p>
            <w:r>
              <w:t>MSFT</w:t>
            </w:r>
          </w:p>
        </w:tc>
        <w:tc>
          <w:tcPr>
            <w:tcW w:type="dxa" w:w="960"/>
          </w:tcPr>
          <w:p>
            <w:r>
              <w:t>Microsoft Corporation</w:t>
            </w:r>
          </w:p>
        </w:tc>
        <w:tc>
          <w:tcPr>
            <w:tcW w:type="dxa" w:w="960"/>
          </w:tcPr>
          <w:p>
            <w:r>
              <w:t>A 强信号</w:t>
            </w:r>
          </w:p>
        </w:tc>
        <w:tc>
          <w:tcPr>
            <w:tcW w:type="dxa" w:w="960"/>
          </w:tcPr>
          <w:p>
            <w:r>
              <w:t>布林带向上开口（最近1天）；成交量放大；放量突破上轨-中；中轨反弹并接近上轨</w:t>
            </w:r>
          </w:p>
        </w:tc>
        <w:tc>
          <w:tcPr>
            <w:tcW w:type="dxa" w:w="960"/>
          </w:tcPr>
          <w:p>
            <w:r>
              <w:t>突破上轨</w:t>
            </w:r>
          </w:p>
        </w:tc>
        <w:tc>
          <w:tcPr>
            <w:tcW w:type="dxa" w:w="960"/>
          </w:tcPr>
          <w:p>
            <w:r>
              <w:t>5.60%</w:t>
            </w:r>
          </w:p>
        </w:tc>
        <w:tc>
          <w:tcPr>
            <w:tcW w:type="dxa" w:w="960"/>
          </w:tcPr>
          <w:p>
            <w:r>
              <w:t>1.076</w:t>
            </w:r>
          </w:p>
        </w:tc>
        <w:tc>
          <w:tcPr>
            <w:tcW w:type="dxa" w:w="960"/>
          </w:tcPr>
          <w:p>
            <w:r>
              <w:t>1.75</w:t>
            </w:r>
          </w:p>
        </w:tc>
        <w:tc>
          <w:tcPr>
            <w:tcW w:type="dxa" w:w="960"/>
          </w:tcPr>
          <w:p>
            <w:r>
              <w:t>股价放量突破布林线上轨，说明短线多头动能较强，可能进入强势上涨阶段，但也要注意短线过热和回</w:t>
            </w:r>
          </w:p>
        </w:tc>
      </w:tr>
      <w:tr>
        <w:tc>
          <w:tcPr>
            <w:tcW w:type="dxa" w:w="960"/>
          </w:tcPr>
          <w:p>
            <w:r>
              <w:t>QSI</w:t>
            </w:r>
          </w:p>
        </w:tc>
        <w:tc>
          <w:tcPr>
            <w:tcW w:type="dxa" w:w="960"/>
          </w:tcPr>
          <w:p>
            <w:r>
              <w:t>Quantum-Si Incorporated</w:t>
            </w:r>
          </w:p>
        </w:tc>
        <w:tc>
          <w:tcPr>
            <w:tcW w:type="dxa" w:w="960"/>
          </w:tcPr>
          <w:p>
            <w:r>
              <w:t>A 强信号</w:t>
            </w:r>
          </w:p>
        </w:tc>
        <w:tc>
          <w:tcPr>
            <w:tcW w:type="dxa" w:w="960"/>
          </w:tcPr>
          <w:p>
            <w:r>
              <w:t>布林带向上开口（最近1天）；成交量放大；放量突破上轨-中；中轨反弹并接近上轨</w:t>
            </w:r>
          </w:p>
        </w:tc>
        <w:tc>
          <w:tcPr>
            <w:tcW w:type="dxa" w:w="960"/>
          </w:tcPr>
          <w:p>
            <w:r>
              <w:t>突破上轨</w:t>
            </w:r>
          </w:p>
        </w:tc>
        <w:tc>
          <w:tcPr>
            <w:tcW w:type="dxa" w:w="960"/>
          </w:tcPr>
          <w:p>
            <w:r>
              <w:t>13.01%</w:t>
            </w:r>
          </w:p>
        </w:tc>
        <w:tc>
          <w:tcPr>
            <w:tcW w:type="dxa" w:w="960"/>
          </w:tcPr>
          <w:p>
            <w:r>
              <w:t>1.254</w:t>
            </w:r>
          </w:p>
        </w:tc>
        <w:tc>
          <w:tcPr>
            <w:tcW w:type="dxa" w:w="960"/>
          </w:tcPr>
          <w:p>
            <w:r>
              <w:t>1.66</w:t>
            </w:r>
          </w:p>
        </w:tc>
        <w:tc>
          <w:tcPr>
            <w:tcW w:type="dxa" w:w="960"/>
          </w:tcPr>
          <w:p>
            <w:r>
              <w:t>股价放量突破布林线上轨，说明短线多头动能较强，可能进入强势上涨阶段，但也要注意短线过热和回</w:t>
            </w:r>
          </w:p>
        </w:tc>
      </w:tr>
      <w:tr>
        <w:tc>
          <w:tcPr>
            <w:tcW w:type="dxa" w:w="960"/>
          </w:tcPr>
          <w:p>
            <w:r>
              <w:t>VELO</w:t>
            </w:r>
          </w:p>
        </w:tc>
        <w:tc>
          <w:tcPr>
            <w:tcW w:type="dxa" w:w="960"/>
          </w:tcPr>
          <w:p>
            <w:r>
              <w:t>Velo3D, Inc.</w:t>
            </w:r>
          </w:p>
        </w:tc>
        <w:tc>
          <w:tcPr>
            <w:tcW w:type="dxa" w:w="960"/>
          </w:tcPr>
          <w:p>
            <w:r>
              <w:t>B 中等信号</w:t>
            </w:r>
          </w:p>
        </w:tc>
        <w:tc>
          <w:tcPr>
            <w:tcW w:type="dxa" w:w="960"/>
          </w:tcPr>
          <w:p>
            <w:r>
              <w:t>强收口：Bandwidth创近100日新低；中轨附近窄幅震荡；低位形态</w:t>
            </w:r>
          </w:p>
        </w:tc>
        <w:tc>
          <w:tcPr>
            <w:tcW w:type="dxa" w:w="960"/>
          </w:tcPr>
          <w:p>
            <w:r>
              <w:t>中轨附近</w:t>
            </w:r>
          </w:p>
        </w:tc>
        <w:tc>
          <w:tcPr>
            <w:tcW w:type="dxa" w:w="960"/>
          </w:tcPr>
          <w:p>
            <w:r>
              <w:t>23.29%</w:t>
            </w:r>
          </w:p>
        </w:tc>
        <w:tc>
          <w:tcPr>
            <w:tcW w:type="dxa" w:w="960"/>
          </w:tcPr>
          <w:p>
            <w:r>
              <w:t>0.596</w:t>
            </w:r>
          </w:p>
        </w:tc>
        <w:tc>
          <w:tcPr>
            <w:tcW w:type="dxa" w:w="960"/>
          </w:tcPr>
          <w:p>
            <w:r>
              <w:t>1.16</w:t>
            </w:r>
          </w:p>
        </w:tc>
        <w:tc>
          <w:tcPr>
            <w:tcW w:type="dxa" w:w="960"/>
          </w:tcPr>
          <w:p>
            <w:r>
              <w:t>布林带收口，说明波动率下降，股价可能处于蓄势阶段，但方向尚未确认。</w:t>
            </w:r>
          </w:p>
        </w:tc>
      </w:tr>
      <w:tr>
        <w:tc>
          <w:tcPr>
            <w:tcW w:type="dxa" w:w="960"/>
          </w:tcPr>
          <w:p>
            <w:r>
              <w:t>IONQ</w:t>
            </w:r>
          </w:p>
        </w:tc>
        <w:tc>
          <w:tcPr>
            <w:tcW w:type="dxa" w:w="960"/>
          </w:tcPr>
          <w:p>
            <w:r>
              <w:t>IonQ</w:t>
            </w:r>
          </w:p>
        </w:tc>
        <w:tc>
          <w:tcPr>
            <w:tcW w:type="dxa" w:w="960"/>
          </w:tcPr>
          <w:p>
            <w:r>
              <w:t>C 观察信号</w:t>
            </w:r>
          </w:p>
        </w:tc>
        <w:tc>
          <w:tcPr>
            <w:tcW w:type="dxa" w:w="960"/>
          </w:tcPr>
          <w:p>
            <w:r>
              <w:t>突破上轨但量能不足-弱；连续2日站上上轨</w:t>
            </w:r>
          </w:p>
        </w:tc>
        <w:tc>
          <w:tcPr>
            <w:tcW w:type="dxa" w:w="960"/>
          </w:tcPr>
          <w:p>
            <w:r>
              <w:t>突破上轨</w:t>
            </w:r>
          </w:p>
        </w:tc>
        <w:tc>
          <w:tcPr>
            <w:tcW w:type="dxa" w:w="960"/>
          </w:tcPr>
          <w:p>
            <w:r>
              <w:t>24.78%</w:t>
            </w:r>
          </w:p>
        </w:tc>
        <w:tc>
          <w:tcPr>
            <w:tcW w:type="dxa" w:w="960"/>
          </w:tcPr>
          <w:p>
            <w:r>
              <w:t>1.112</w:t>
            </w:r>
          </w:p>
        </w:tc>
        <w:tc>
          <w:tcPr>
            <w:tcW w:type="dxa" w:w="960"/>
          </w:tcPr>
          <w:p>
            <w:r>
              <w:t>1.14</w:t>
            </w:r>
          </w:p>
        </w:tc>
        <w:tc>
          <w:tcPr>
            <w:tcW w:type="dxa" w:w="960"/>
          </w:tcPr>
          <w:p>
            <w:r>
              <w:t>股价突破布林线上轨，但成交量确认不足，可能是假突破，需要下一交易日确认。</w:t>
            </w:r>
          </w:p>
        </w:tc>
      </w:tr>
      <w:tr>
        <w:tc>
          <w:tcPr>
            <w:tcW w:type="dxa" w:w="960"/>
          </w:tcPr>
          <w:p>
            <w:r>
              <w:t>RKLB</w:t>
            </w:r>
          </w:p>
        </w:tc>
        <w:tc>
          <w:tcPr>
            <w:tcW w:type="dxa" w:w="960"/>
          </w:tcPr>
          <w:p>
            <w:r>
              <w:t>Rocket Lab USA</w:t>
            </w:r>
          </w:p>
        </w:tc>
        <w:tc>
          <w:tcPr>
            <w:tcW w:type="dxa" w:w="960"/>
          </w:tcPr>
          <w:p>
            <w:r>
              <w:t>C 观察信号</w:t>
            </w:r>
          </w:p>
        </w:tc>
        <w:tc>
          <w:tcPr>
            <w:tcW w:type="dxa" w:w="960"/>
          </w:tcPr>
          <w:p>
            <w:r>
              <w:t>突破上轨但量能不足-弱；连续2日站上上轨；低位形态</w:t>
            </w:r>
          </w:p>
        </w:tc>
        <w:tc>
          <w:tcPr>
            <w:tcW w:type="dxa" w:w="960"/>
          </w:tcPr>
          <w:p>
            <w:r>
              <w:t>突破上轨</w:t>
            </w:r>
          </w:p>
        </w:tc>
        <w:tc>
          <w:tcPr>
            <w:tcW w:type="dxa" w:w="960"/>
          </w:tcPr>
          <w:p>
            <w:r>
              <w:t>23.05%</w:t>
            </w:r>
          </w:p>
        </w:tc>
        <w:tc>
          <w:tcPr>
            <w:tcW w:type="dxa" w:w="960"/>
          </w:tcPr>
          <w:p>
            <w:r>
              <w:t>1.031</w:t>
            </w:r>
          </w:p>
        </w:tc>
        <w:tc>
          <w:tcPr>
            <w:tcW w:type="dxa" w:w="960"/>
          </w:tcPr>
          <w:p>
            <w:r>
              <w:t>0.93</w:t>
            </w:r>
          </w:p>
        </w:tc>
        <w:tc>
          <w:tcPr>
            <w:tcW w:type="dxa" w:w="960"/>
          </w:tcPr>
          <w:p>
            <w:r>
              <w:t>股价突破布林线上轨，但成交量确认不足，可能是假突破，需要下一交易日确认。</w:t>
            </w:r>
          </w:p>
        </w:tc>
      </w:tr>
      <w:tr>
        <w:tc>
          <w:tcPr>
            <w:tcW w:type="dxa" w:w="960"/>
          </w:tcPr>
          <w:p>
            <w:r>
              <w:t>LITE</w:t>
            </w:r>
          </w:p>
        </w:tc>
        <w:tc>
          <w:tcPr>
            <w:tcW w:type="dxa" w:w="960"/>
          </w:tcPr>
          <w:p>
            <w:r>
              <w:t>Lumentum Holdings</w:t>
            </w:r>
          </w:p>
        </w:tc>
        <w:tc>
          <w:tcPr>
            <w:tcW w:type="dxa" w:w="960"/>
          </w:tcPr>
          <w:p>
            <w:r>
              <w:t>C 观察信号</w:t>
            </w:r>
          </w:p>
        </w:tc>
        <w:tc>
          <w:tcPr>
            <w:tcW w:type="dxa" w:w="960"/>
          </w:tcPr>
          <w:p>
            <w:r>
              <w:t>强收口：Bandwidth创近100日新低；中轨附近窄幅震荡</w:t>
            </w:r>
          </w:p>
        </w:tc>
        <w:tc>
          <w:tcPr>
            <w:tcW w:type="dxa" w:w="960"/>
          </w:tcPr>
          <w:p>
            <w:r>
              <w:t>中轨附近</w:t>
            </w:r>
          </w:p>
        </w:tc>
        <w:tc>
          <w:tcPr>
            <w:tcW w:type="dxa" w:w="960"/>
          </w:tcPr>
          <w:p>
            <w:r>
              <w:t>18.84%</w:t>
            </w:r>
          </w:p>
        </w:tc>
        <w:tc>
          <w:tcPr>
            <w:tcW w:type="dxa" w:w="960"/>
          </w:tcPr>
          <w:p>
            <w:r>
              <w:t>0.674</w:t>
            </w:r>
          </w:p>
        </w:tc>
        <w:tc>
          <w:tcPr>
            <w:tcW w:type="dxa" w:w="960"/>
          </w:tcPr>
          <w:p>
            <w:r>
              <w:t>0.88</w:t>
            </w:r>
          </w:p>
        </w:tc>
        <w:tc>
          <w:tcPr>
            <w:tcW w:type="dxa" w:w="960"/>
          </w:tcPr>
          <w:p>
            <w:r>
              <w:t>布林带收口，说明波动率下降，股价可能处于蓄势阶段，但方向尚未确认。</w:t>
            </w:r>
          </w:p>
        </w:tc>
      </w:tr>
      <w:tr>
        <w:tc>
          <w:tcPr>
            <w:tcW w:type="dxa" w:w="960"/>
          </w:tcPr>
          <w:p>
            <w:r>
              <w:t>AAOI</w:t>
            </w:r>
          </w:p>
        </w:tc>
        <w:tc>
          <w:tcPr>
            <w:tcW w:type="dxa" w:w="960"/>
          </w:tcPr>
          <w:p>
            <w:r>
              <w:t>Applied Optoelectronics</w:t>
            </w:r>
          </w:p>
        </w:tc>
        <w:tc>
          <w:tcPr>
            <w:tcW w:type="dxa" w:w="960"/>
          </w:tcPr>
          <w:p>
            <w:r>
              <w:t>C 观察信号</w:t>
            </w:r>
          </w:p>
        </w:tc>
        <w:tc>
          <w:tcPr>
            <w:tcW w:type="dxa" w:w="960"/>
          </w:tcPr>
          <w:p>
            <w:r>
              <w:t>强收口：Bandwidth创近100日新低；中轨附近窄幅震荡</w:t>
            </w:r>
          </w:p>
        </w:tc>
        <w:tc>
          <w:tcPr>
            <w:tcW w:type="dxa" w:w="960"/>
          </w:tcPr>
          <w:p>
            <w:r>
              <w:t>中轨附近</w:t>
            </w:r>
          </w:p>
        </w:tc>
        <w:tc>
          <w:tcPr>
            <w:tcW w:type="dxa" w:w="960"/>
          </w:tcPr>
          <w:p>
            <w:r>
              <w:t>17.03%</w:t>
            </w:r>
          </w:p>
        </w:tc>
        <w:tc>
          <w:tcPr>
            <w:tcW w:type="dxa" w:w="960"/>
          </w:tcPr>
          <w:p>
            <w:r>
              <w:t>0.396</w:t>
            </w:r>
          </w:p>
        </w:tc>
        <w:tc>
          <w:tcPr>
            <w:tcW w:type="dxa" w:w="960"/>
          </w:tcPr>
          <w:p>
            <w:r>
              <w:t>0.83</w:t>
            </w:r>
          </w:p>
        </w:tc>
        <w:tc>
          <w:tcPr>
            <w:tcW w:type="dxa" w:w="960"/>
          </w:tcPr>
          <w:p>
            <w:r>
              <w:t>布林带收口，说明波动率下降，股价可能处于蓄势阶段，但方向尚未确认。</w:t>
            </w:r>
          </w:p>
        </w:tc>
      </w:tr>
      <w:tr>
        <w:tc>
          <w:tcPr>
            <w:tcW w:type="dxa" w:w="960"/>
          </w:tcPr>
          <w:p>
            <w:r>
              <w:t>CRWV</w:t>
            </w:r>
          </w:p>
        </w:tc>
        <w:tc>
          <w:tcPr>
            <w:tcW w:type="dxa" w:w="960"/>
          </w:tcPr>
          <w:p>
            <w:r>
              <w:t>CoreWeave</w:t>
            </w:r>
          </w:p>
        </w:tc>
        <w:tc>
          <w:tcPr>
            <w:tcW w:type="dxa" w:w="960"/>
          </w:tcPr>
          <w:p>
            <w:r>
              <w:t>C 观察信号</w:t>
            </w:r>
          </w:p>
        </w:tc>
        <w:tc>
          <w:tcPr>
            <w:tcW w:type="dxa" w:w="960"/>
          </w:tcPr>
          <w:p>
            <w:r>
              <w:t>强收口：Bandwidth低于近8个月10%分位且持续9天；中轨附近窄幅震荡；低位形态</w:t>
            </w:r>
          </w:p>
        </w:tc>
        <w:tc>
          <w:tcPr>
            <w:tcW w:type="dxa" w:w="960"/>
          </w:tcPr>
          <w:p>
            <w:r>
              <w:t>中轨附近</w:t>
            </w:r>
          </w:p>
        </w:tc>
        <w:tc>
          <w:tcPr>
            <w:tcW w:type="dxa" w:w="960"/>
          </w:tcPr>
          <w:p>
            <w:r>
              <w:t>22.54%</w:t>
            </w:r>
          </w:p>
        </w:tc>
        <w:tc>
          <w:tcPr>
            <w:tcW w:type="dxa" w:w="960"/>
          </w:tcPr>
          <w:p>
            <w:r>
              <w:t>0.572</w:t>
            </w:r>
          </w:p>
        </w:tc>
        <w:tc>
          <w:tcPr>
            <w:tcW w:type="dxa" w:w="960"/>
          </w:tcPr>
          <w:p>
            <w:r>
              <w:t>0.81</w:t>
            </w:r>
          </w:p>
        </w:tc>
        <w:tc>
          <w:tcPr>
            <w:tcW w:type="dxa" w:w="960"/>
          </w:tcPr>
          <w:p>
            <w:r>
              <w:t>布林带收口，说明波动率下降，股价可能处于蓄势阶段，但方向尚未确认。</w:t>
            </w:r>
          </w:p>
        </w:tc>
      </w:tr>
      <w:tr>
        <w:tc>
          <w:tcPr>
            <w:tcW w:type="dxa" w:w="960"/>
          </w:tcPr>
          <w:p>
            <w:r>
              <w:t>SHAZ</w:t>
            </w:r>
          </w:p>
        </w:tc>
        <w:tc>
          <w:tcPr>
            <w:tcW w:type="dxa" w:w="960"/>
          </w:tcPr>
          <w:p>
            <w:r>
              <w:t>Shaz</w:t>
            </w:r>
          </w:p>
        </w:tc>
        <w:tc>
          <w:tcPr>
            <w:tcW w:type="dxa" w:w="960"/>
          </w:tcPr>
          <w:p>
            <w:r>
              <w:t>C 观察信号</w:t>
            </w:r>
          </w:p>
        </w:tc>
        <w:tc>
          <w:tcPr>
            <w:tcW w:type="dxa" w:w="960"/>
          </w:tcPr>
          <w:p>
            <w:r>
              <w:t>强收口：Bandwidth低于近8个月10%分位且持续9天；中轨附近窄幅震荡</w:t>
            </w:r>
          </w:p>
        </w:tc>
        <w:tc>
          <w:tcPr>
            <w:tcW w:type="dxa" w:w="960"/>
          </w:tcPr>
          <w:p>
            <w:r>
              <w:t>中轨附近</w:t>
            </w:r>
          </w:p>
        </w:tc>
        <w:tc>
          <w:tcPr>
            <w:tcW w:type="dxa" w:w="960"/>
          </w:tcPr>
          <w:p>
            <w:r>
              <w:t>21.90%</w:t>
            </w:r>
          </w:p>
        </w:tc>
        <w:tc>
          <w:tcPr>
            <w:tcW w:type="dxa" w:w="960"/>
          </w:tcPr>
          <w:p>
            <w:r>
              <w:t>0.409</w:t>
            </w:r>
          </w:p>
        </w:tc>
        <w:tc>
          <w:tcPr>
            <w:tcW w:type="dxa" w:w="960"/>
          </w:tcPr>
          <w:p>
            <w:r>
              <w:t>0.79</w:t>
            </w:r>
          </w:p>
        </w:tc>
        <w:tc>
          <w:tcPr>
            <w:tcW w:type="dxa" w:w="960"/>
          </w:tcPr>
          <w:p>
            <w:r>
              <w:t>布林带收口，说明波动率下降，股价可能处于蓄势阶段，但方向尚未确认。</w:t>
            </w:r>
          </w:p>
        </w:tc>
      </w:tr>
      <w:tr>
        <w:tc>
          <w:tcPr>
            <w:tcW w:type="dxa" w:w="960"/>
          </w:tcPr>
          <w:p>
            <w:r>
              <w:t>COHR</w:t>
            </w:r>
          </w:p>
        </w:tc>
        <w:tc>
          <w:tcPr>
            <w:tcW w:type="dxa" w:w="960"/>
          </w:tcPr>
          <w:p>
            <w:r>
              <w:t>Coherent</w:t>
            </w:r>
          </w:p>
        </w:tc>
        <w:tc>
          <w:tcPr>
            <w:tcW w:type="dxa" w:w="960"/>
          </w:tcPr>
          <w:p>
            <w:r>
              <w:t>C 观察信号</w:t>
            </w:r>
          </w:p>
        </w:tc>
        <w:tc>
          <w:tcPr>
            <w:tcW w:type="dxa" w:w="960"/>
          </w:tcPr>
          <w:p>
            <w:r>
              <w:t>弱收口：Bandwidth连续9天维持低于近8个月30%分位；中轨附近窄幅震荡</w:t>
            </w:r>
          </w:p>
        </w:tc>
        <w:tc>
          <w:tcPr>
            <w:tcW w:type="dxa" w:w="960"/>
          </w:tcPr>
          <w:p>
            <w:r>
              <w:t>中轨附近</w:t>
            </w:r>
          </w:p>
        </w:tc>
        <w:tc>
          <w:tcPr>
            <w:tcW w:type="dxa" w:w="960"/>
          </w:tcPr>
          <w:p>
            <w:r>
              <w:t>23.00%</w:t>
            </w:r>
          </w:p>
        </w:tc>
        <w:tc>
          <w:tcPr>
            <w:tcW w:type="dxa" w:w="960"/>
          </w:tcPr>
          <w:p>
            <w:r>
              <w:t>0.581</w:t>
            </w:r>
          </w:p>
        </w:tc>
        <w:tc>
          <w:tcPr>
            <w:tcW w:type="dxa" w:w="960"/>
          </w:tcPr>
          <w:p>
            <w:r>
              <w:t>0.75</w:t>
            </w:r>
          </w:p>
        </w:tc>
        <w:tc>
          <w:tcPr>
            <w:tcW w:type="dxa" w:w="960"/>
          </w:tcPr>
          <w:p>
            <w:r>
              <w:t>布林带收口，说明波动率下降，股价可能处于蓄势阶段，但方向尚未确认。</w:t>
            </w:r>
          </w:p>
        </w:tc>
      </w:tr>
      <w:tr>
        <w:tc>
          <w:tcPr>
            <w:tcW w:type="dxa" w:w="960"/>
          </w:tcPr>
          <w:p>
            <w:r>
              <w:t>OKLO</w:t>
            </w:r>
          </w:p>
        </w:tc>
        <w:tc>
          <w:tcPr>
            <w:tcW w:type="dxa" w:w="960"/>
          </w:tcPr>
          <w:p>
            <w:r>
              <w:t>Oklo</w:t>
            </w:r>
          </w:p>
        </w:tc>
        <w:tc>
          <w:tcPr>
            <w:tcW w:type="dxa" w:w="960"/>
          </w:tcPr>
          <w:p>
            <w:r>
              <w:t>C 观察信号</w:t>
            </w:r>
          </w:p>
        </w:tc>
        <w:tc>
          <w:tcPr>
            <w:tcW w:type="dxa" w:w="960"/>
          </w:tcPr>
          <w:p>
            <w:r>
              <w:t>弱收口：Bandwidth连续23天维持低于近8个月30%分位；中轨附近窄幅震荡；低位形态</w:t>
            </w:r>
          </w:p>
        </w:tc>
        <w:tc>
          <w:tcPr>
            <w:tcW w:type="dxa" w:w="960"/>
          </w:tcPr>
          <w:p>
            <w:r>
              <w:t>中轨附近</w:t>
            </w:r>
          </w:p>
        </w:tc>
        <w:tc>
          <w:tcPr>
            <w:tcW w:type="dxa" w:w="960"/>
          </w:tcPr>
          <w:p>
            <w:r>
              <w:t>20.96%</w:t>
            </w:r>
          </w:p>
        </w:tc>
        <w:tc>
          <w:tcPr>
            <w:tcW w:type="dxa" w:w="960"/>
          </w:tcPr>
          <w:p>
            <w:r>
              <w:t>0.364</w:t>
            </w:r>
          </w:p>
        </w:tc>
        <w:tc>
          <w:tcPr>
            <w:tcW w:type="dxa" w:w="960"/>
          </w:tcPr>
          <w:p>
            <w:r>
              <w:t>0.67</w:t>
            </w:r>
          </w:p>
        </w:tc>
        <w:tc>
          <w:tcPr>
            <w:tcW w:type="dxa" w:w="960"/>
          </w:tcPr>
          <w:p>
            <w:r>
              <w:t>布林带收口，说明波动率下降，股价可能处于蓄势阶段，但方向尚未确认。</w:t>
            </w:r>
          </w:p>
        </w:tc>
      </w:tr>
      <w:tr>
        <w:tc>
          <w:tcPr>
            <w:tcW w:type="dxa" w:w="960"/>
          </w:tcPr>
          <w:p>
            <w:r>
              <w:t>ASTS</w:t>
            </w:r>
          </w:p>
        </w:tc>
        <w:tc>
          <w:tcPr>
            <w:tcW w:type="dxa" w:w="960"/>
          </w:tcPr>
          <w:p>
            <w:r>
              <w:t>AST SpaceMobile</w:t>
            </w:r>
          </w:p>
        </w:tc>
        <w:tc>
          <w:tcPr>
            <w:tcW w:type="dxa" w:w="960"/>
          </w:tcPr>
          <w:p>
            <w:r>
              <w:t>C 观察信号</w:t>
            </w:r>
          </w:p>
        </w:tc>
        <w:tc>
          <w:tcPr>
            <w:tcW w:type="dxa" w:w="960"/>
          </w:tcPr>
          <w:p>
            <w:r>
              <w:t>强收口：Bandwidth低于近8个月10%分位且持续10天；中轨附近窄幅震荡；低位形态</w:t>
            </w:r>
          </w:p>
        </w:tc>
        <w:tc>
          <w:tcPr>
            <w:tcW w:type="dxa" w:w="960"/>
          </w:tcPr>
          <w:p>
            <w:r>
              <w:t>中轨附近</w:t>
            </w:r>
          </w:p>
        </w:tc>
        <w:tc>
          <w:tcPr>
            <w:tcW w:type="dxa" w:w="960"/>
          </w:tcPr>
          <w:p>
            <w:r>
              <w:t>14.85%</w:t>
            </w:r>
          </w:p>
        </w:tc>
        <w:tc>
          <w:tcPr>
            <w:tcW w:type="dxa" w:w="960"/>
          </w:tcPr>
          <w:p>
            <w:r>
              <w:t>0.613</w:t>
            </w:r>
          </w:p>
        </w:tc>
        <w:tc>
          <w:tcPr>
            <w:tcW w:type="dxa" w:w="960"/>
          </w:tcPr>
          <w:p>
            <w:r>
              <w:t>0.65</w:t>
            </w:r>
          </w:p>
        </w:tc>
        <w:tc>
          <w:tcPr>
            <w:tcW w:type="dxa" w:w="960"/>
          </w:tcPr>
          <w:p>
            <w:r>
              <w:t>布林带收口，说明波动率下降，股价可能处于蓄势阶段，但方向尚未确认。</w:t>
            </w:r>
          </w:p>
        </w:tc>
      </w:tr>
      <w:tr>
        <w:tc>
          <w:tcPr>
            <w:tcW w:type="dxa" w:w="960"/>
          </w:tcPr>
          <w:p>
            <w:r>
              <w:t>AVGO</w:t>
            </w:r>
          </w:p>
        </w:tc>
        <w:tc>
          <w:tcPr>
            <w:tcW w:type="dxa" w:w="960"/>
          </w:tcPr>
          <w:p>
            <w:r>
              <w:t>Broadcom Inc.</w:t>
            </w:r>
          </w:p>
        </w:tc>
        <w:tc>
          <w:tcPr>
            <w:tcW w:type="dxa" w:w="960"/>
          </w:tcPr>
          <w:p>
            <w:r>
              <w:t>C 观察信号</w:t>
            </w:r>
          </w:p>
        </w:tc>
        <w:tc>
          <w:tcPr>
            <w:tcW w:type="dxa" w:w="960"/>
          </w:tcPr>
          <w:p>
            <w:r>
              <w:t>弱收口：Bandwidth连续11天维持低于近8个月30%分位；中轨附近窄幅震荡；低位形态</w:t>
            </w:r>
          </w:p>
        </w:tc>
        <w:tc>
          <w:tcPr>
            <w:tcW w:type="dxa" w:w="960"/>
          </w:tcPr>
          <w:p>
            <w:r>
              <w:t>中轨附近</w:t>
            </w:r>
          </w:p>
        </w:tc>
        <w:tc>
          <w:tcPr>
            <w:tcW w:type="dxa" w:w="960"/>
          </w:tcPr>
          <w:p>
            <w:r>
              <w:t>10.63%</w:t>
            </w:r>
          </w:p>
        </w:tc>
        <w:tc>
          <w:tcPr>
            <w:tcW w:type="dxa" w:w="960"/>
          </w:tcPr>
          <w:p>
            <w:r>
              <w:t>0.363</w:t>
            </w:r>
          </w:p>
        </w:tc>
        <w:tc>
          <w:tcPr>
            <w:tcW w:type="dxa" w:w="960"/>
          </w:tcPr>
          <w:p>
            <w:r>
              <w:t>0.59</w:t>
            </w:r>
          </w:p>
        </w:tc>
        <w:tc>
          <w:tcPr>
            <w:tcW w:type="dxa" w:w="960"/>
          </w:tcPr>
          <w:p>
            <w:r>
              <w:t>布林带收口，说明波动率下降，股价可能处于蓄势阶段，但方向尚未确认。</w:t>
            </w:r>
          </w:p>
        </w:tc>
      </w:tr>
      <w:tr>
        <w:tc>
          <w:tcPr>
            <w:tcW w:type="dxa" w:w="960"/>
          </w:tcPr>
          <w:p>
            <w:r>
              <w:t>CIEN</w:t>
            </w:r>
          </w:p>
        </w:tc>
        <w:tc>
          <w:tcPr>
            <w:tcW w:type="dxa" w:w="960"/>
          </w:tcPr>
          <w:p>
            <w:r>
              <w:t>Ciena</w:t>
            </w:r>
          </w:p>
        </w:tc>
        <w:tc>
          <w:tcPr>
            <w:tcW w:type="dxa" w:w="960"/>
          </w:tcPr>
          <w:p>
            <w:r>
              <w:t>C 观察信号</w:t>
            </w:r>
          </w:p>
        </w:tc>
        <w:tc>
          <w:tcPr>
            <w:tcW w:type="dxa" w:w="960"/>
          </w:tcPr>
          <w:p>
            <w:r>
              <w:t>弱收口：Bandwidth低于近8个月30%分位且最近8个交易日及以上连续下降；中轨附近窄幅震荡</w:t>
            </w:r>
          </w:p>
        </w:tc>
        <w:tc>
          <w:tcPr>
            <w:tcW w:type="dxa" w:w="960"/>
          </w:tcPr>
          <w:p>
            <w:r>
              <w:t>中轨附近</w:t>
            </w:r>
          </w:p>
        </w:tc>
        <w:tc>
          <w:tcPr>
            <w:tcW w:type="dxa" w:w="960"/>
          </w:tcPr>
          <w:p>
            <w:r>
              <w:t>20.48%</w:t>
            </w:r>
          </w:p>
        </w:tc>
        <w:tc>
          <w:tcPr>
            <w:tcW w:type="dxa" w:w="960"/>
          </w:tcPr>
          <w:p>
            <w:r>
              <w:t>0.617</w:t>
            </w:r>
          </w:p>
        </w:tc>
        <w:tc>
          <w:tcPr>
            <w:tcW w:type="dxa" w:w="960"/>
          </w:tcPr>
          <w:p>
            <w:r>
              <w:t>0.57</w:t>
            </w:r>
          </w:p>
        </w:tc>
        <w:tc>
          <w:tcPr>
            <w:tcW w:type="dxa" w:w="960"/>
          </w:tcPr>
          <w:p>
            <w:r>
              <w:t>布林带收口，说明波动率下降，股价可能处于蓄势阶段，但方向尚未确认。</w:t>
            </w:r>
          </w:p>
        </w:tc>
      </w:tr>
      <w:tr>
        <w:tc>
          <w:tcPr>
            <w:tcW w:type="dxa" w:w="960"/>
          </w:tcPr>
          <w:p>
            <w:r>
              <w:t>NOK</w:t>
            </w:r>
          </w:p>
        </w:tc>
        <w:tc>
          <w:tcPr>
            <w:tcW w:type="dxa" w:w="960"/>
          </w:tcPr>
          <w:p>
            <w:r>
              <w:t>Nokia Oyj</w:t>
            </w:r>
          </w:p>
        </w:tc>
        <w:tc>
          <w:tcPr>
            <w:tcW w:type="dxa" w:w="960"/>
          </w:tcPr>
          <w:p>
            <w:r>
              <w:t>C 观察信号</w:t>
            </w:r>
          </w:p>
        </w:tc>
        <w:tc>
          <w:tcPr>
            <w:tcW w:type="dxa" w:w="960"/>
          </w:tcPr>
          <w:p>
            <w:r>
              <w:t>弱收口：Bandwidth连续16天维持低于近8个月30%分位；中轨附近窄幅震荡</w:t>
            </w:r>
          </w:p>
        </w:tc>
        <w:tc>
          <w:tcPr>
            <w:tcW w:type="dxa" w:w="960"/>
          </w:tcPr>
          <w:p>
            <w:r>
              <w:t>中轨附近</w:t>
            </w:r>
          </w:p>
        </w:tc>
        <w:tc>
          <w:tcPr>
            <w:tcW w:type="dxa" w:w="960"/>
          </w:tcPr>
          <w:p>
            <w:r>
              <w:t>16.15%</w:t>
            </w:r>
          </w:p>
        </w:tc>
        <w:tc>
          <w:tcPr>
            <w:tcW w:type="dxa" w:w="960"/>
          </w:tcPr>
          <w:p>
            <w:r>
              <w:t>0.518</w:t>
            </w:r>
          </w:p>
        </w:tc>
        <w:tc>
          <w:tcPr>
            <w:tcW w:type="dxa" w:w="960"/>
          </w:tcPr>
          <w:p>
            <w:r>
              <w:t>0.52</w:t>
            </w:r>
          </w:p>
        </w:tc>
        <w:tc>
          <w:tcPr>
            <w:tcW w:type="dxa" w:w="960"/>
          </w:tcPr>
          <w:p>
            <w:r>
              <w:t>布林带收口，说明波动率下降，股价可能处于蓄势阶段，但方向尚未确认。</w:t>
            </w:r>
          </w:p>
        </w:tc>
      </w:tr>
      <w:tr>
        <w:tc>
          <w:tcPr>
            <w:tcW w:type="dxa" w:w="960"/>
          </w:tcPr>
          <w:p>
            <w:r>
              <w:t>POET</w:t>
            </w:r>
          </w:p>
        </w:tc>
        <w:tc>
          <w:tcPr>
            <w:tcW w:type="dxa" w:w="960"/>
          </w:tcPr>
          <w:p>
            <w:r>
              <w:t>POET Technologies</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18.52%</w:t>
            </w:r>
          </w:p>
        </w:tc>
        <w:tc>
          <w:tcPr>
            <w:tcW w:type="dxa" w:w="960"/>
          </w:tcPr>
          <w:p>
            <w:r>
              <w:t>0.559</w:t>
            </w:r>
          </w:p>
        </w:tc>
        <w:tc>
          <w:tcPr>
            <w:tcW w:type="dxa" w:w="960"/>
          </w:tcPr>
          <w:p>
            <w:r>
              <w:t>0.50</w:t>
            </w:r>
          </w:p>
        </w:tc>
        <w:tc>
          <w:tcPr>
            <w:tcW w:type="dxa" w:w="960"/>
          </w:tcPr>
          <w:p>
            <w:r>
              <w:t>布林带收口，说明波动率下降，股价可能处于蓄势阶段，但方向尚未确认。</w:t>
            </w:r>
          </w:p>
        </w:tc>
      </w:tr>
    </w:tbl>
    <w:p>
      <w:pPr>
        <w:pStyle w:val="Heading2"/>
      </w:pPr>
      <w:r>
        <w:t>二、重点结论</w:t>
      </w:r>
    </w:p>
    <w:p>
      <w:pPr>
        <w:pStyle w:val="ListBullet"/>
      </w:pPr>
      <w:r>
        <w:t>强信号：FLY, MSFT, QSI。</w:t>
      </w:r>
    </w:p>
    <w:p>
      <w:pPr>
        <w:pStyle w:val="ListBullet"/>
      </w:pPr>
      <w:r>
        <w:t>中等信号：VELO。</w:t>
      </w:r>
    </w:p>
    <w:p>
      <w:pPr>
        <w:pStyle w:val="ListBullet"/>
      </w:pPr>
      <w:r>
        <w:t>观察信号：IONQ, RKLB, LITE, AAOI, CRWV, SHAZ, COHR, OKLO, ASTS, AVGO, CIEN, NOK, POET。</w:t>
      </w:r>
    </w:p>
    <w:p>
      <w:pPr>
        <w:pStyle w:val="ListBullet"/>
      </w:pPr>
      <w:r>
        <w:t>今日优先复核：FLY, MSFT, QSI, VELO, IONQ。优先看是否放量、能否站稳上轨或中轨。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FLY - Firefly Aerospace</w:t>
      </w:r>
    </w:p>
    <w:p>
      <w:pPr>
        <w:pStyle w:val="ListBullet"/>
      </w:pPr>
      <w:r>
        <w:t>信号等级：A 强信号</w:t>
      </w:r>
    </w:p>
    <w:p>
      <w:pPr>
        <w:pStyle w:val="ListBullet"/>
      </w:pPr>
      <w:r>
        <w:t>最新收盘价：$24.36</w:t>
      </w:r>
    </w:p>
    <w:p>
      <w:pPr>
        <w:pStyle w:val="ListBullet"/>
      </w:pPr>
      <w:r>
        <w:t>BOLL：上轨 $23.79；中轨 $21.70；下轨 $19.60</w:t>
      </w:r>
    </w:p>
    <w:p>
      <w:pPr>
        <w:pStyle w:val="ListBullet"/>
      </w:pPr>
      <w:r>
        <w:t>Bandwidth：19.32%；历史分位：5.36%；%B：1.135</w:t>
      </w:r>
    </w:p>
    <w:p>
      <w:pPr>
        <w:pStyle w:val="ListBullet"/>
      </w:pPr>
      <w:r>
        <w:t>成交量：当日 5289900；20日均量 2879915；量比 1.84</w:t>
      </w:r>
    </w:p>
    <w:p>
      <w:pPr>
        <w:pStyle w:val="ListBullet"/>
      </w:pPr>
      <w:r>
        <w:t>触发信号：布林带向上开口（最近2天）；成交量放大；放量突破上轨-强；中轨反弹并接近上轨；成交量放大；低位形态</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风险提示：尚未连续两日站上上轨，需要下一交易日确认。</w:t>
      </w:r>
    </w:p>
    <w:p>
      <w:pPr>
        <w:pStyle w:val="Heading3"/>
      </w:pPr>
      <w:r>
        <w:t>MSFT - Microsoft Corporation</w:t>
      </w:r>
    </w:p>
    <w:p>
      <w:pPr>
        <w:pStyle w:val="ListBullet"/>
      </w:pPr>
      <w:r>
        <w:t>信号等级：A 强信号</w:t>
      </w:r>
    </w:p>
    <w:p>
      <w:pPr>
        <w:pStyle w:val="ListBullet"/>
      </w:pPr>
      <w:r>
        <w:t>最新收盘价：$516.17</w:t>
      </w:r>
    </w:p>
    <w:p>
      <w:pPr>
        <w:pStyle w:val="ListBullet"/>
      </w:pPr>
      <w:r>
        <w:t>BOLL：上轨 $514.04；中轨 $500.04；下轨 $486.04</w:t>
      </w:r>
    </w:p>
    <w:p>
      <w:pPr>
        <w:pStyle w:val="ListBullet"/>
      </w:pPr>
      <w:r>
        <w:t>Bandwidth：5.60%；历史分位：4.17%；%B：1.076</w:t>
      </w:r>
    </w:p>
    <w:p>
      <w:pPr>
        <w:pStyle w:val="ListBullet"/>
      </w:pPr>
      <w:r>
        <w:t>成交量：当日 38154200；20日均量 21811945；量比 1.75</w:t>
      </w:r>
    </w:p>
    <w:p>
      <w:pPr>
        <w:pStyle w:val="ListBullet"/>
      </w:pPr>
      <w:r>
        <w:t>触发信号：布林带向上开口（最近1天）；成交量放大；放量突破上轨-中；中轨反弹并接近上轨；成交量放大</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风险提示：尚未连续两日站上上轨，需要下一交易日确认。</w:t>
      </w:r>
    </w:p>
    <w:p>
      <w:pPr>
        <w:pStyle w:val="Heading3"/>
      </w:pPr>
      <w:r>
        <w:t>QSI - Quantum-Si Incorporated</w:t>
      </w:r>
    </w:p>
    <w:p>
      <w:pPr>
        <w:pStyle w:val="ListBullet"/>
      </w:pPr>
      <w:r>
        <w:t>信号等级：A 强信号</w:t>
      </w:r>
    </w:p>
    <w:p>
      <w:pPr>
        <w:pStyle w:val="ListBullet"/>
      </w:pPr>
      <w:r>
        <w:t>最新收盘价：$0.83</w:t>
      </w:r>
    </w:p>
    <w:p>
      <w:pPr>
        <w:pStyle w:val="ListBullet"/>
      </w:pPr>
      <w:r>
        <w:t>BOLL：上轨 $0.81；中轨 $0.76；下轨 $0.71</w:t>
      </w:r>
    </w:p>
    <w:p>
      <w:pPr>
        <w:pStyle w:val="ListBullet"/>
      </w:pPr>
      <w:r>
        <w:t>Bandwidth：13.01%；历史分位：1.79%；%B：1.254</w:t>
      </w:r>
    </w:p>
    <w:p>
      <w:pPr>
        <w:pStyle w:val="ListBullet"/>
      </w:pPr>
      <w:r>
        <w:t>成交量：当日 2572200；20日均量 1550210；量比 1.66</w:t>
      </w:r>
    </w:p>
    <w:p>
      <w:pPr>
        <w:pStyle w:val="ListBullet"/>
      </w:pPr>
      <w:r>
        <w:t>触发信号：布林带向上开口（最近1天）；成交量放大；放量突破上轨-中；中轨反弹并接近上轨；成交量放大；低位形态</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风险提示：股价明显高于上轨，短线可能过热，需防回踩。；尚未连续两日站上上轨，需要下一交易日确认。</w:t>
      </w:r>
    </w:p>
    <w:p>
      <w:pPr>
        <w:pStyle w:val="Heading3"/>
      </w:pPr>
      <w:r>
        <w:t>VELO - Velo3D, Inc.</w:t>
      </w:r>
    </w:p>
    <w:p>
      <w:pPr>
        <w:pStyle w:val="ListBullet"/>
      </w:pPr>
      <w:r>
        <w:t>信号等级：B 中等信号</w:t>
      </w:r>
    </w:p>
    <w:p>
      <w:pPr>
        <w:pStyle w:val="ListBullet"/>
      </w:pPr>
      <w:r>
        <w:t>最新收盘价：$11.29</w:t>
      </w:r>
    </w:p>
    <w:p>
      <w:pPr>
        <w:pStyle w:val="ListBullet"/>
      </w:pPr>
      <w:r>
        <w:t>BOLL：上轨 $12.33；中轨 $11.04；下轨 $9.76</w:t>
      </w:r>
    </w:p>
    <w:p>
      <w:pPr>
        <w:pStyle w:val="ListBullet"/>
      </w:pPr>
      <w:r>
        <w:t>Bandwidth：23.29%；历史分位：0.60%；%B：0.596</w:t>
      </w:r>
    </w:p>
    <w:p>
      <w:pPr>
        <w:pStyle w:val="ListBullet"/>
      </w:pPr>
      <w:r>
        <w:t>成交量：当日 1079600；20日均量 927425；量比 1.16</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IONQ - IonQ</w:t>
      </w:r>
    </w:p>
    <w:p>
      <w:pPr>
        <w:pStyle w:val="ListBullet"/>
      </w:pPr>
      <w:r>
        <w:t>信号等级：C 观察信号</w:t>
      </w:r>
    </w:p>
    <w:p>
      <w:pPr>
        <w:pStyle w:val="ListBullet"/>
      </w:pPr>
      <w:r>
        <w:t>最新收盘价：$45.48</w:t>
      </w:r>
    </w:p>
    <w:p>
      <w:pPr>
        <w:pStyle w:val="ListBullet"/>
      </w:pPr>
      <w:r>
        <w:t>BOLL：上轨 $44.38；中轨 $39.49；下轨 $34.60</w:t>
      </w:r>
    </w:p>
    <w:p>
      <w:pPr>
        <w:pStyle w:val="ListBullet"/>
      </w:pPr>
      <w:r>
        <w:t>Bandwidth：24.78%；历史分位：10.12%；%B：1.112</w:t>
      </w:r>
    </w:p>
    <w:p>
      <w:pPr>
        <w:pStyle w:val="ListBullet"/>
      </w:pPr>
      <w:r>
        <w:t>成交量：当日 27472800；20日均量 24008210；量比 1.14</w:t>
      </w:r>
    </w:p>
    <w:p>
      <w:pPr>
        <w:pStyle w:val="ListBullet"/>
      </w:pPr>
      <w:r>
        <w:t>触发信号：突破上轨但量能不足-弱；连续2日站上上轨</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w:t>
      </w:r>
    </w:p>
    <w:p>
      <w:pPr>
        <w:pStyle w:val="Heading3"/>
      </w:pPr>
      <w:r>
        <w:t>RKLB - Rocket Lab USA</w:t>
      </w:r>
    </w:p>
    <w:p>
      <w:pPr>
        <w:pStyle w:val="ListBullet"/>
      </w:pPr>
      <w:r>
        <w:t>信号等级：C 观察信号</w:t>
      </w:r>
    </w:p>
    <w:p>
      <w:pPr>
        <w:pStyle w:val="ListBullet"/>
      </w:pPr>
      <w:r>
        <w:t>最新收盘价：$73.95</w:t>
      </w:r>
    </w:p>
    <w:p>
      <w:pPr>
        <w:pStyle w:val="ListBullet"/>
      </w:pPr>
      <w:r>
        <w:t>BOLL：上轨 $73.48；中轨 $65.89；下轨 $58.30</w:t>
      </w:r>
    </w:p>
    <w:p>
      <w:pPr>
        <w:pStyle w:val="ListBullet"/>
      </w:pPr>
      <w:r>
        <w:t>Bandwidth：23.05%；历史分位：19.05%；%B：1.031</w:t>
      </w:r>
    </w:p>
    <w:p>
      <w:pPr>
        <w:pStyle w:val="ListBullet"/>
      </w:pPr>
      <w:r>
        <w:t>成交量：当日 18802600；20日均量 20117635；量比 0.93</w:t>
      </w:r>
    </w:p>
    <w:p>
      <w:pPr>
        <w:pStyle w:val="ListBullet"/>
      </w:pPr>
      <w:r>
        <w:t>触发信号：突破上轨但量能不足-弱；连续2日站上上轨；低位形态</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w:t>
      </w:r>
    </w:p>
    <w:p>
      <w:pPr>
        <w:pStyle w:val="Heading3"/>
      </w:pPr>
      <w:r>
        <w:t>LITE - Lumentum Holdings</w:t>
      </w:r>
    </w:p>
    <w:p>
      <w:pPr>
        <w:pStyle w:val="ListBullet"/>
      </w:pPr>
      <w:r>
        <w:t>信号等级：C 观察信号</w:t>
      </w:r>
    </w:p>
    <w:p>
      <w:pPr>
        <w:pStyle w:val="ListBullet"/>
      </w:pPr>
      <w:r>
        <w:t>最新收盘价：$941.65</w:t>
      </w:r>
    </w:p>
    <w:p>
      <w:pPr>
        <w:pStyle w:val="ListBullet"/>
      </w:pPr>
      <w:r>
        <w:t>BOLL：上轨 $997.57；中轨 $911.70；下轨 $825.82</w:t>
      </w:r>
    </w:p>
    <w:p>
      <w:pPr>
        <w:pStyle w:val="ListBullet"/>
      </w:pPr>
      <w:r>
        <w:t>Bandwidth：18.84%；历史分位：1.19%；%B：0.674</w:t>
      </w:r>
    </w:p>
    <w:p>
      <w:pPr>
        <w:pStyle w:val="ListBullet"/>
      </w:pPr>
      <w:r>
        <w:t>成交量：当日 3853800；20日均量 4386295；量比 0.88</w:t>
      </w:r>
    </w:p>
    <w:p>
      <w:pPr>
        <w:pStyle w:val="ListBullet"/>
      </w:pPr>
      <w:r>
        <w:t>触发信号：强收口：Bandwidth创近100日新低；中轨附近窄幅震荡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AAOI - Applied Optoelectronics</w:t>
      </w:r>
    </w:p>
    <w:p>
      <w:pPr>
        <w:pStyle w:val="ListBullet"/>
      </w:pPr>
      <w:r>
        <w:t>信号等级：C 观察信号</w:t>
      </w:r>
    </w:p>
    <w:p>
      <w:pPr>
        <w:pStyle w:val="ListBullet"/>
      </w:pPr>
      <w:r>
        <w:t>最新收盘价：$101.40</w:t>
      </w:r>
    </w:p>
    <w:p>
      <w:pPr>
        <w:pStyle w:val="ListBullet"/>
      </w:pPr>
      <w:r>
        <w:t>BOLL：上轨 $112.02；中轨 $103.23；下轨 $94.44</w:t>
      </w:r>
    </w:p>
    <w:p>
      <w:pPr>
        <w:pStyle w:val="ListBullet"/>
      </w:pPr>
      <w:r>
        <w:t>Bandwidth：17.03%；历史分位：0.60%；%B：0.396</w:t>
      </w:r>
    </w:p>
    <w:p>
      <w:pPr>
        <w:pStyle w:val="ListBullet"/>
      </w:pPr>
      <w:r>
        <w:t>成交量：当日 5487800；20日均量 6603790；量比 0.83</w:t>
      </w:r>
    </w:p>
    <w:p>
      <w:pPr>
        <w:pStyle w:val="ListBullet"/>
      </w:pPr>
      <w:r>
        <w:t>触发信号：强收口：Bandwidth创近100日新低；中轨附近窄幅震荡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CRWV - CoreWeave</w:t>
      </w:r>
    </w:p>
    <w:p>
      <w:pPr>
        <w:pStyle w:val="ListBullet"/>
      </w:pPr>
      <w:r>
        <w:t>信号等级：C 观察信号</w:t>
      </w:r>
    </w:p>
    <w:p>
      <w:pPr>
        <w:pStyle w:val="ListBullet"/>
      </w:pPr>
      <w:r>
        <w:t>最新收盘价：$87.59</w:t>
      </w:r>
    </w:p>
    <w:p>
      <w:pPr>
        <w:pStyle w:val="ListBullet"/>
      </w:pPr>
      <w:r>
        <w:t>BOLL：上轨 $95.92；中轨 $86.20；下轨 $76.48</w:t>
      </w:r>
    </w:p>
    <w:p>
      <w:pPr>
        <w:pStyle w:val="ListBullet"/>
      </w:pPr>
      <w:r>
        <w:t>Bandwidth：22.54%；历史分位：8.93%；%B：0.572</w:t>
      </w:r>
    </w:p>
    <w:p>
      <w:pPr>
        <w:pStyle w:val="ListBullet"/>
      </w:pPr>
      <w:r>
        <w:t>成交量：当日 23510500；20日均量 29133260；量比 0.81</w:t>
      </w:r>
    </w:p>
    <w:p>
      <w:pPr>
        <w:pStyle w:val="ListBullet"/>
      </w:pPr>
      <w:r>
        <w:t>触发信号：强收口：Bandwidth低于近8个月10%分位且持续9天；中轨附近窄幅震荡；低位形态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SHAZ - Shaz</w:t>
      </w:r>
    </w:p>
    <w:p>
      <w:pPr>
        <w:pStyle w:val="ListBullet"/>
      </w:pPr>
      <w:r>
        <w:t>信号等级：C 观察信号</w:t>
      </w:r>
    </w:p>
    <w:p>
      <w:pPr>
        <w:pStyle w:val="ListBullet"/>
      </w:pPr>
      <w:r>
        <w:t>最新收盘价：$54.68</w:t>
      </w:r>
    </w:p>
    <w:p>
      <w:pPr>
        <w:pStyle w:val="ListBullet"/>
      </w:pPr>
      <w:r>
        <w:t>BOLL：上轨 $61.90；中轨 $55.79；下轨 $49.68</w:t>
      </w:r>
    </w:p>
    <w:p>
      <w:pPr>
        <w:pStyle w:val="ListBullet"/>
      </w:pPr>
      <w:r>
        <w:t>Bandwidth：21.90%；历史分位：2.24%；%B：0.409</w:t>
      </w:r>
    </w:p>
    <w:p>
      <w:pPr>
        <w:pStyle w:val="ListBullet"/>
      </w:pPr>
      <w:r>
        <w:t>成交量：当日 1229600；20日均量 1552950；量比 0.79</w:t>
      </w:r>
    </w:p>
    <w:p>
      <w:pPr>
        <w:pStyle w:val="ListBullet"/>
      </w:pPr>
      <w:r>
        <w:t>触发信号：强收口：Bandwidth低于近8个月10%分位且持续9天；中轨附近窄幅震荡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COHR - Coherent</w:t>
      </w:r>
    </w:p>
    <w:p>
      <w:pPr>
        <w:pStyle w:val="ListBullet"/>
      </w:pPr>
      <w:r>
        <w:t>信号等级：C 观察信号</w:t>
      </w:r>
    </w:p>
    <w:p>
      <w:pPr>
        <w:pStyle w:val="ListBullet"/>
      </w:pPr>
      <w:r>
        <w:t>最新收盘价：$295.83</w:t>
      </w:r>
    </w:p>
    <w:p>
      <w:pPr>
        <w:pStyle w:val="ListBullet"/>
      </w:pPr>
      <w:r>
        <w:t>BOLL：上轨 $323.79；中轨 $290.39；下轨 $256.99</w:t>
      </w:r>
    </w:p>
    <w:p>
      <w:pPr>
        <w:pStyle w:val="ListBullet"/>
      </w:pPr>
      <w:r>
        <w:t>Bandwidth：23.00%；历史分位：20.24%；%B：0.581</w:t>
      </w:r>
    </w:p>
    <w:p>
      <w:pPr>
        <w:pStyle w:val="ListBullet"/>
      </w:pPr>
      <w:r>
        <w:t>成交量：当日 4693700；20日均量 6245415；量比 0.75</w:t>
      </w:r>
    </w:p>
    <w:p>
      <w:pPr>
        <w:pStyle w:val="ListBullet"/>
      </w:pPr>
      <w:r>
        <w:t>触发信号：弱收口：Bandwidth连续9天维持低于近8个月30%分位；中轨附近窄幅震荡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OKLO - Oklo</w:t>
      </w:r>
    </w:p>
    <w:p>
      <w:pPr>
        <w:pStyle w:val="ListBullet"/>
      </w:pPr>
      <w:r>
        <w:t>信号等级：C 观察信号</w:t>
      </w:r>
    </w:p>
    <w:p>
      <w:pPr>
        <w:pStyle w:val="ListBullet"/>
      </w:pPr>
      <w:r>
        <w:t>最新收盘价：$38.04</w:t>
      </w:r>
    </w:p>
    <w:p>
      <w:pPr>
        <w:pStyle w:val="ListBullet"/>
      </w:pPr>
      <w:r>
        <w:t>BOLL：上轨 $43.26；中轨 $39.15；下轨 $35.05</w:t>
      </w:r>
    </w:p>
    <w:p>
      <w:pPr>
        <w:pStyle w:val="ListBullet"/>
      </w:pPr>
      <w:r>
        <w:t>Bandwidth：20.96%；历史分位：8.93%；%B：0.364</w:t>
      </w:r>
    </w:p>
    <w:p>
      <w:pPr>
        <w:pStyle w:val="ListBullet"/>
      </w:pPr>
      <w:r>
        <w:t>成交量：当日 6763000；20日均量 10084355；量比 0.67</w:t>
      </w:r>
    </w:p>
    <w:p>
      <w:pPr>
        <w:pStyle w:val="ListBullet"/>
      </w:pPr>
      <w:r>
        <w:t>触发信号：弱收口：Bandwidth连续23天维持低于近8个月30%分位；中轨附近窄幅震荡；低位形态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ASTS - AST SpaceMobile</w:t>
      </w:r>
    </w:p>
    <w:p>
      <w:pPr>
        <w:pStyle w:val="ListBullet"/>
      </w:pPr>
      <w:r>
        <w:t>信号等级：C 观察信号</w:t>
      </w:r>
    </w:p>
    <w:p>
      <w:pPr>
        <w:pStyle w:val="ListBullet"/>
      </w:pPr>
      <w:r>
        <w:t>最新收盘价：$61.81</w:t>
      </w:r>
    </w:p>
    <w:p>
      <w:pPr>
        <w:pStyle w:val="ListBullet"/>
      </w:pPr>
      <w:r>
        <w:t>BOLL：上轨 $65.30；中轨 $60.79；下轨 $56.28</w:t>
      </w:r>
    </w:p>
    <w:p>
      <w:pPr>
        <w:pStyle w:val="ListBullet"/>
      </w:pPr>
      <w:r>
        <w:t>Bandwidth：14.85%；历史分位：1.79%；%B：0.613</w:t>
      </w:r>
    </w:p>
    <w:p>
      <w:pPr>
        <w:pStyle w:val="ListBullet"/>
      </w:pPr>
      <w:r>
        <w:t>成交量：当日 6434700；20日均量 9837395；量比 0.65</w:t>
      </w:r>
    </w:p>
    <w:p>
      <w:pPr>
        <w:pStyle w:val="ListBullet"/>
      </w:pPr>
      <w:r>
        <w:t>触发信号：强收口：Bandwidth低于近8个月10%分位且持续10天；中轨附近窄幅震荡；低位形态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AVGO - Broadcom Inc.</w:t>
      </w:r>
    </w:p>
    <w:p>
      <w:pPr>
        <w:pStyle w:val="ListBullet"/>
      </w:pPr>
      <w:r>
        <w:t>信号等级：C 观察信号</w:t>
      </w:r>
    </w:p>
    <w:p>
      <w:pPr>
        <w:pStyle w:val="ListBullet"/>
      </w:pPr>
      <w:r>
        <w:t>最新收盘价：$352.81</w:t>
      </w:r>
    </w:p>
    <w:p>
      <w:pPr>
        <w:pStyle w:val="ListBullet"/>
      </w:pPr>
      <w:r>
        <w:t>BOLL：上轨 $377.06；中轨 $358.03；下轨 $339.01</w:t>
      </w:r>
    </w:p>
    <w:p>
      <w:pPr>
        <w:pStyle w:val="ListBullet"/>
      </w:pPr>
      <w:r>
        <w:t>Bandwidth：10.63%；历史分位：17.26%；%B：0.363</w:t>
      </w:r>
    </w:p>
    <w:p>
      <w:pPr>
        <w:pStyle w:val="ListBullet"/>
      </w:pPr>
      <w:r>
        <w:t>成交量：当日 16220900；20日均量 27399390；量比 0.59</w:t>
      </w:r>
    </w:p>
    <w:p>
      <w:pPr>
        <w:pStyle w:val="ListBullet"/>
      </w:pPr>
      <w:r>
        <w:t>触发信号：弱收口：Bandwidth连续11天维持低于近8个月30%分位；中轨附近窄幅震荡；低位形态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CIEN - Ciena</w:t>
      </w:r>
    </w:p>
    <w:p>
      <w:pPr>
        <w:pStyle w:val="ListBullet"/>
      </w:pPr>
      <w:r>
        <w:t>信号等级：C 观察信号</w:t>
      </w:r>
    </w:p>
    <w:p>
      <w:pPr>
        <w:pStyle w:val="ListBullet"/>
      </w:pPr>
      <w:r>
        <w:t>最新收盘价：$356.91</w:t>
      </w:r>
    </w:p>
    <w:p>
      <w:pPr>
        <w:pStyle w:val="ListBullet"/>
      </w:pPr>
      <w:r>
        <w:t>BOLL：上轨 $384.24；中轨 $348.54；下轨 $312.85</w:t>
      </w:r>
    </w:p>
    <w:p>
      <w:pPr>
        <w:pStyle w:val="ListBullet"/>
      </w:pPr>
      <w:r>
        <w:t>Bandwidth：20.48%；历史分位：16.07%；%B：0.617</w:t>
      </w:r>
    </w:p>
    <w:p>
      <w:pPr>
        <w:pStyle w:val="ListBullet"/>
      </w:pPr>
      <w:r>
        <w:t>成交量：当日 1616900；20日均量 2823765；量比 0.57</w:t>
      </w:r>
    </w:p>
    <w:p>
      <w:pPr>
        <w:pStyle w:val="ListBullet"/>
      </w:pPr>
      <w:r>
        <w:t>触发信号：弱收口：Bandwidth低于近8个月30%分位且最近8个交易日及以上连续下降；中轨附近窄幅震荡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NOK - Nokia Oyj</w:t>
      </w:r>
    </w:p>
    <w:p>
      <w:pPr>
        <w:pStyle w:val="ListBullet"/>
      </w:pPr>
      <w:r>
        <w:t>信号等级：C 观察信号</w:t>
      </w:r>
    </w:p>
    <w:p>
      <w:pPr>
        <w:pStyle w:val="ListBullet"/>
      </w:pPr>
      <w:r>
        <w:t>最新收盘价：$10.39</w:t>
      </w:r>
    </w:p>
    <w:p>
      <w:pPr>
        <w:pStyle w:val="ListBullet"/>
      </w:pPr>
      <w:r>
        <w:t>BOLL：上轨 $11.20；中轨 $10.36；下轨 $9.52</w:t>
      </w:r>
    </w:p>
    <w:p>
      <w:pPr>
        <w:pStyle w:val="ListBullet"/>
      </w:pPr>
      <w:r>
        <w:t>Bandwidth：16.15%；历史分位：20.83%；%B：0.518</w:t>
      </w:r>
    </w:p>
    <w:p>
      <w:pPr>
        <w:pStyle w:val="ListBullet"/>
      </w:pPr>
      <w:r>
        <w:t>成交量：当日 45306200；20日均量 86472980；量比 0.52</w:t>
      </w:r>
    </w:p>
    <w:p>
      <w:pPr>
        <w:pStyle w:val="ListBullet"/>
      </w:pPr>
      <w:r>
        <w:t>触发信号：弱收口：Bandwidth连续16天维持低于近8个月30%分位；中轨附近窄幅震荡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POET - POET Technologies</w:t>
      </w:r>
    </w:p>
    <w:p>
      <w:pPr>
        <w:pStyle w:val="ListBullet"/>
      </w:pPr>
      <w:r>
        <w:t>信号等级：C 观察信号</w:t>
      </w:r>
    </w:p>
    <w:p>
      <w:pPr>
        <w:pStyle w:val="ListBullet"/>
      </w:pPr>
      <w:r>
        <w:t>最新收盘价：$7.77</w:t>
      </w:r>
    </w:p>
    <w:p>
      <w:pPr>
        <w:pStyle w:val="ListBullet"/>
      </w:pPr>
      <w:r>
        <w:t>BOLL：上轨 $8.40；中轨 $7.69；下轨 $6.97</w:t>
      </w:r>
    </w:p>
    <w:p>
      <w:pPr>
        <w:pStyle w:val="ListBullet"/>
      </w:pPr>
      <w:r>
        <w:t>Bandwidth：18.52%；历史分位：0.60%；%B：0.559</w:t>
      </w:r>
    </w:p>
    <w:p>
      <w:pPr>
        <w:pStyle w:val="ListBullet"/>
      </w:pPr>
      <w:r>
        <w:t>成交量：当日 4099600；20日均量 8224255；量比 0.50</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p>
      <w:r>
        <w:t>未发现数据异常或无法判断的股票。</w:t>
      </w:r>
    </w:p>
    <w:p>
      <w:pPr>
        <w:pStyle w:val="Heading2"/>
      </w:pPr>
      <w:r>
        <w:t>五、无明显 BOLL 信号</w:t>
      </w:r>
    </w:p>
    <w:p>
      <w:r>
        <w:t>XE（X-energy）, NBIS（Nebius Group）, ARM（Arm Holdings）, OPTX（Syntec Optics Holdings）, GLW（Corning）, MRVL（Marvell Technology）, INTC（Intel）, ALAB（Astera Labs）, FLNC（Fluence Energy）, ORCL（Oracle）, NVTS（Navitas Semiconductor）, DELL（Dell Technologies）, BB（BlackBerry）, ONDS（Ondas Holdings）, SMR（NuScale Power）, QBTS（D-Wave Quantum）, NVDA（NVIDIA）, AMZN（Amazon.com）, AMD（Advanced Micro Devices）, CRCL（Circle Internet Group）, CBRS（Chain Bridge Bancorp）, SIVEF（Sivers Semiconductors）, LUNR（Intuitive Machines）, INOD（Innodata）, SPCX（Space Exploration Technologies）, RDW（Redwire Corporation）, QCOM（QUALCOMM Incorporated）, COIN（Coinbase Global, Inc.）, CORZ（Core Scientific, Inc.）, IREN（IREN LIMITED）, GOOG（Alphabet Inc.）, AMAT（Applied Materials, Inc.）, AMKR（Amkor Technology, Inc.）, LRCX（Lam Research Corporation）, SNDK（Sandisk Corporation）, MU（Micron Technology, Inc.）, VICR（Vicor Corporation）, NNE（Nano Nuclear Energy Inc.）, CCJ（Cameco Corporation）, BWAY（Brainsway Ltd.）, MANE（Veradermics, Incorporated）, CRSP（CRISPR Therapeutics AG）, IBRX（ImmunityBio, Inc.）, INSP（Inspire Medical Systems, Inc.）</w:t>
      </w:r>
    </w:p>
    <w:p>
      <w:r>
        <w:br w:type="page"/>
      </w:r>
    </w:p>
    <w:p>
      <w:pPr>
        <w:pStyle w:val="Heading2"/>
      </w:pPr>
      <w:r>
        <w:t>六、触发股票 BOLL 图表</w:t>
      </w:r>
    </w:p>
    <w:p>
      <w:pPr>
        <w:pStyle w:val="Heading3"/>
      </w:pPr>
      <w:r>
        <w:t>FLY - Firefly Aerospace</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FLY_BOLL.png"/>
                    <pic:cNvPicPr/>
                  </pic:nvPicPr>
                  <pic:blipFill>
                    <a:blip r:embed="rId9"/>
                    <a:stretch>
                      <a:fillRect/>
                    </a:stretch>
                  </pic:blipFill>
                  <pic:spPr>
                    <a:xfrm>
                      <a:off x="0" y="0"/>
                      <a:ext cx="6035040" cy="4054793"/>
                    </a:xfrm>
                    <a:prstGeom prst="rect"/>
                  </pic:spPr>
                </pic:pic>
              </a:graphicData>
            </a:graphic>
          </wp:inline>
        </w:drawing>
      </w:r>
    </w:p>
    <w:p>
      <w:pPr>
        <w:pStyle w:val="Heading3"/>
      </w:pPr>
      <w:r>
        <w:t>MSFT - Microsoft Corporation</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MSFT_BOLL.png"/>
                    <pic:cNvPicPr/>
                  </pic:nvPicPr>
                  <pic:blipFill>
                    <a:blip r:embed="rId10"/>
                    <a:stretch>
                      <a:fillRect/>
                    </a:stretch>
                  </pic:blipFill>
                  <pic:spPr>
                    <a:xfrm>
                      <a:off x="0" y="0"/>
                      <a:ext cx="6035040" cy="4054793"/>
                    </a:xfrm>
                    <a:prstGeom prst="rect"/>
                  </pic:spPr>
                </pic:pic>
              </a:graphicData>
            </a:graphic>
          </wp:inline>
        </w:drawing>
      </w:r>
    </w:p>
    <w:p>
      <w:pPr>
        <w:pStyle w:val="Heading3"/>
      </w:pPr>
      <w:r>
        <w:t>QSI - Quantum-Si Incorporated</w:t>
      </w:r>
    </w:p>
    <w:p>
      <w:r>
        <w:drawing>
          <wp:inline xmlns:a="http://schemas.openxmlformats.org/drawingml/2006/main" xmlns:pic="http://schemas.openxmlformats.org/drawingml/2006/picture">
            <wp:extent cx="6035040" cy="4054793"/>
            <wp:docPr id="3" name="Picture 3"/>
            <wp:cNvGraphicFramePr>
              <a:graphicFrameLocks noChangeAspect="1"/>
            </wp:cNvGraphicFramePr>
            <a:graphic>
              <a:graphicData uri="http://schemas.openxmlformats.org/drawingml/2006/picture">
                <pic:pic>
                  <pic:nvPicPr>
                    <pic:cNvPr id="0" name="QSI_BOLL.png"/>
                    <pic:cNvPicPr/>
                  </pic:nvPicPr>
                  <pic:blipFill>
                    <a:blip r:embed="rId11"/>
                    <a:stretch>
                      <a:fillRect/>
                    </a:stretch>
                  </pic:blipFill>
                  <pic:spPr>
                    <a:xfrm>
                      <a:off x="0" y="0"/>
                      <a:ext cx="6035040" cy="4054793"/>
                    </a:xfrm>
                    <a:prstGeom prst="rect"/>
                  </pic:spPr>
                </pic:pic>
              </a:graphicData>
            </a:graphic>
          </wp:inline>
        </w:drawing>
      </w:r>
    </w:p>
    <w:p>
      <w:pPr>
        <w:pStyle w:val="Heading3"/>
      </w:pPr>
      <w:r>
        <w:t>VELO - Velo3D, Inc.</w:t>
      </w:r>
    </w:p>
    <w:p>
      <w:r>
        <w:drawing>
          <wp:inline xmlns:a="http://schemas.openxmlformats.org/drawingml/2006/main" xmlns:pic="http://schemas.openxmlformats.org/drawingml/2006/picture">
            <wp:extent cx="6035040" cy="4054793"/>
            <wp:docPr id="4" name="Picture 4"/>
            <wp:cNvGraphicFramePr>
              <a:graphicFrameLocks noChangeAspect="1"/>
            </wp:cNvGraphicFramePr>
            <a:graphic>
              <a:graphicData uri="http://schemas.openxmlformats.org/drawingml/2006/picture">
                <pic:pic>
                  <pic:nvPicPr>
                    <pic:cNvPr id="0" name="VELO_BOLL.png"/>
                    <pic:cNvPicPr/>
                  </pic:nvPicPr>
                  <pic:blipFill>
                    <a:blip r:embed="rId12"/>
                    <a:stretch>
                      <a:fillRect/>
                    </a:stretch>
                  </pic:blipFill>
                  <pic:spPr>
                    <a:xfrm>
                      <a:off x="0" y="0"/>
                      <a:ext cx="6035040" cy="4054793"/>
                    </a:xfrm>
                    <a:prstGeom prst="rect"/>
                  </pic:spPr>
                </pic:pic>
              </a:graphicData>
            </a:graphic>
          </wp:inline>
        </w:drawing>
      </w:r>
    </w:p>
    <w:p>
      <w:pPr>
        <w:pStyle w:val="Heading3"/>
      </w:pPr>
      <w:r>
        <w:t>IONQ - IonQ</w:t>
      </w:r>
    </w:p>
    <w:p>
      <w:r>
        <w:drawing>
          <wp:inline xmlns:a="http://schemas.openxmlformats.org/drawingml/2006/main" xmlns:pic="http://schemas.openxmlformats.org/drawingml/2006/picture">
            <wp:extent cx="6035040" cy="4054793"/>
            <wp:docPr id="5" name="Picture 5"/>
            <wp:cNvGraphicFramePr>
              <a:graphicFrameLocks noChangeAspect="1"/>
            </wp:cNvGraphicFramePr>
            <a:graphic>
              <a:graphicData uri="http://schemas.openxmlformats.org/drawingml/2006/picture">
                <pic:pic>
                  <pic:nvPicPr>
                    <pic:cNvPr id="0" name="IONQ_BOLL.png"/>
                    <pic:cNvPicPr/>
                  </pic:nvPicPr>
                  <pic:blipFill>
                    <a:blip r:embed="rId13"/>
                    <a:stretch>
                      <a:fillRect/>
                    </a:stretch>
                  </pic:blipFill>
                  <pic:spPr>
                    <a:xfrm>
                      <a:off x="0" y="0"/>
                      <a:ext cx="6035040" cy="4054793"/>
                    </a:xfrm>
                    <a:prstGeom prst="rect"/>
                  </pic:spPr>
                </pic:pic>
              </a:graphicData>
            </a:graphic>
          </wp:inline>
        </w:drawing>
      </w:r>
    </w:p>
    <w:p>
      <w:pPr>
        <w:pStyle w:val="Heading3"/>
      </w:pPr>
      <w:r>
        <w:t>RKLB - Rocket Lab USA</w:t>
      </w:r>
    </w:p>
    <w:p>
      <w:r>
        <w:drawing>
          <wp:inline xmlns:a="http://schemas.openxmlformats.org/drawingml/2006/main" xmlns:pic="http://schemas.openxmlformats.org/drawingml/2006/picture">
            <wp:extent cx="6035040" cy="4054793"/>
            <wp:docPr id="6" name="Picture 6"/>
            <wp:cNvGraphicFramePr>
              <a:graphicFrameLocks noChangeAspect="1"/>
            </wp:cNvGraphicFramePr>
            <a:graphic>
              <a:graphicData uri="http://schemas.openxmlformats.org/drawingml/2006/picture">
                <pic:pic>
                  <pic:nvPicPr>
                    <pic:cNvPr id="0" name="RKLB_BOLL.png"/>
                    <pic:cNvPicPr/>
                  </pic:nvPicPr>
                  <pic:blipFill>
                    <a:blip r:embed="rId14"/>
                    <a:stretch>
                      <a:fillRect/>
                    </a:stretch>
                  </pic:blipFill>
                  <pic:spPr>
                    <a:xfrm>
                      <a:off x="0" y="0"/>
                      <a:ext cx="6035040" cy="4054793"/>
                    </a:xfrm>
                    <a:prstGeom prst="rect"/>
                  </pic:spPr>
                </pic:pic>
              </a:graphicData>
            </a:graphic>
          </wp:inline>
        </w:drawing>
      </w:r>
    </w:p>
    <w:p>
      <w:pPr>
        <w:pStyle w:val="Heading3"/>
      </w:pPr>
      <w:r>
        <w:t>LITE - Lumentum Holdings</w:t>
      </w:r>
    </w:p>
    <w:p>
      <w:r>
        <w:drawing>
          <wp:inline xmlns:a="http://schemas.openxmlformats.org/drawingml/2006/main" xmlns:pic="http://schemas.openxmlformats.org/drawingml/2006/picture">
            <wp:extent cx="6035040" cy="4054793"/>
            <wp:docPr id="7" name="Picture 7"/>
            <wp:cNvGraphicFramePr>
              <a:graphicFrameLocks noChangeAspect="1"/>
            </wp:cNvGraphicFramePr>
            <a:graphic>
              <a:graphicData uri="http://schemas.openxmlformats.org/drawingml/2006/picture">
                <pic:pic>
                  <pic:nvPicPr>
                    <pic:cNvPr id="0" name="LITE_BOLL.png"/>
                    <pic:cNvPicPr/>
                  </pic:nvPicPr>
                  <pic:blipFill>
                    <a:blip r:embed="rId15"/>
                    <a:stretch>
                      <a:fillRect/>
                    </a:stretch>
                  </pic:blipFill>
                  <pic:spPr>
                    <a:xfrm>
                      <a:off x="0" y="0"/>
                      <a:ext cx="6035040" cy="4054793"/>
                    </a:xfrm>
                    <a:prstGeom prst="rect"/>
                  </pic:spPr>
                </pic:pic>
              </a:graphicData>
            </a:graphic>
          </wp:inline>
        </w:drawing>
      </w:r>
    </w:p>
    <w:p>
      <w:pPr>
        <w:pStyle w:val="Heading3"/>
      </w:pPr>
      <w:r>
        <w:t>AAOI - Applied Optoelectronics</w:t>
      </w:r>
    </w:p>
    <w:p>
      <w:r>
        <w:drawing>
          <wp:inline xmlns:a="http://schemas.openxmlformats.org/drawingml/2006/main" xmlns:pic="http://schemas.openxmlformats.org/drawingml/2006/picture">
            <wp:extent cx="6035040" cy="4054793"/>
            <wp:docPr id="8" name="Picture 8"/>
            <wp:cNvGraphicFramePr>
              <a:graphicFrameLocks noChangeAspect="1"/>
            </wp:cNvGraphicFramePr>
            <a:graphic>
              <a:graphicData uri="http://schemas.openxmlformats.org/drawingml/2006/picture">
                <pic:pic>
                  <pic:nvPicPr>
                    <pic:cNvPr id="0" name="AAOI_BOLL.png"/>
                    <pic:cNvPicPr/>
                  </pic:nvPicPr>
                  <pic:blipFill>
                    <a:blip r:embed="rId16"/>
                    <a:stretch>
                      <a:fillRect/>
                    </a:stretch>
                  </pic:blipFill>
                  <pic:spPr>
                    <a:xfrm>
                      <a:off x="0" y="0"/>
                      <a:ext cx="6035040" cy="4054793"/>
                    </a:xfrm>
                    <a:prstGeom prst="rect"/>
                  </pic:spPr>
                </pic:pic>
              </a:graphicData>
            </a:graphic>
          </wp:inline>
        </w:drawing>
      </w:r>
    </w:p>
    <w:p>
      <w:pPr>
        <w:pStyle w:val="Heading3"/>
      </w:pPr>
      <w:r>
        <w:t>CRWV - CoreWeave</w:t>
      </w:r>
    </w:p>
    <w:p>
      <w:r>
        <w:drawing>
          <wp:inline xmlns:a="http://schemas.openxmlformats.org/drawingml/2006/main" xmlns:pic="http://schemas.openxmlformats.org/drawingml/2006/picture">
            <wp:extent cx="6035040" cy="4054793"/>
            <wp:docPr id="9" name="Picture 9"/>
            <wp:cNvGraphicFramePr>
              <a:graphicFrameLocks noChangeAspect="1"/>
            </wp:cNvGraphicFramePr>
            <a:graphic>
              <a:graphicData uri="http://schemas.openxmlformats.org/drawingml/2006/picture">
                <pic:pic>
                  <pic:nvPicPr>
                    <pic:cNvPr id="0" name="CRWV_BOLL.png"/>
                    <pic:cNvPicPr/>
                  </pic:nvPicPr>
                  <pic:blipFill>
                    <a:blip r:embed="rId17"/>
                    <a:stretch>
                      <a:fillRect/>
                    </a:stretch>
                  </pic:blipFill>
                  <pic:spPr>
                    <a:xfrm>
                      <a:off x="0" y="0"/>
                      <a:ext cx="6035040" cy="4054793"/>
                    </a:xfrm>
                    <a:prstGeom prst="rect"/>
                  </pic:spPr>
                </pic:pic>
              </a:graphicData>
            </a:graphic>
          </wp:inline>
        </w:drawing>
      </w:r>
    </w:p>
    <w:p>
      <w:pPr>
        <w:pStyle w:val="Heading3"/>
      </w:pPr>
      <w:r>
        <w:t>SHAZ - Shaz</w:t>
      </w:r>
    </w:p>
    <w:p>
      <w:r>
        <w:drawing>
          <wp:inline xmlns:a="http://schemas.openxmlformats.org/drawingml/2006/main" xmlns:pic="http://schemas.openxmlformats.org/drawingml/2006/picture">
            <wp:extent cx="6035040" cy="4054793"/>
            <wp:docPr id="10" name="Picture 10"/>
            <wp:cNvGraphicFramePr>
              <a:graphicFrameLocks noChangeAspect="1"/>
            </wp:cNvGraphicFramePr>
            <a:graphic>
              <a:graphicData uri="http://schemas.openxmlformats.org/drawingml/2006/picture">
                <pic:pic>
                  <pic:nvPicPr>
                    <pic:cNvPr id="0" name="SHAZ_BOLL.png"/>
                    <pic:cNvPicPr/>
                  </pic:nvPicPr>
                  <pic:blipFill>
                    <a:blip r:embed="rId18"/>
                    <a:stretch>
                      <a:fillRect/>
                    </a:stretch>
                  </pic:blipFill>
                  <pic:spPr>
                    <a:xfrm>
                      <a:off x="0" y="0"/>
                      <a:ext cx="6035040" cy="4054793"/>
                    </a:xfrm>
                    <a:prstGeom prst="rect"/>
                  </pic:spPr>
                </pic:pic>
              </a:graphicData>
            </a:graphic>
          </wp:inline>
        </w:drawing>
      </w:r>
    </w:p>
    <w:p>
      <w:pPr>
        <w:pStyle w:val="Heading3"/>
      </w:pPr>
      <w:r>
        <w:t>COHR - Coherent</w:t>
      </w:r>
    </w:p>
    <w:p>
      <w:r>
        <w:drawing>
          <wp:inline xmlns:a="http://schemas.openxmlformats.org/drawingml/2006/main" xmlns:pic="http://schemas.openxmlformats.org/drawingml/2006/picture">
            <wp:extent cx="6035040" cy="4054793"/>
            <wp:docPr id="11" name="Picture 11"/>
            <wp:cNvGraphicFramePr>
              <a:graphicFrameLocks noChangeAspect="1"/>
            </wp:cNvGraphicFramePr>
            <a:graphic>
              <a:graphicData uri="http://schemas.openxmlformats.org/drawingml/2006/picture">
                <pic:pic>
                  <pic:nvPicPr>
                    <pic:cNvPr id="0" name="COHR_BOLL.png"/>
                    <pic:cNvPicPr/>
                  </pic:nvPicPr>
                  <pic:blipFill>
                    <a:blip r:embed="rId19"/>
                    <a:stretch>
                      <a:fillRect/>
                    </a:stretch>
                  </pic:blipFill>
                  <pic:spPr>
                    <a:xfrm>
                      <a:off x="0" y="0"/>
                      <a:ext cx="6035040" cy="4054793"/>
                    </a:xfrm>
                    <a:prstGeom prst="rect"/>
                  </pic:spPr>
                </pic:pic>
              </a:graphicData>
            </a:graphic>
          </wp:inline>
        </w:drawing>
      </w:r>
    </w:p>
    <w:p>
      <w:pPr>
        <w:pStyle w:val="Heading3"/>
      </w:pPr>
      <w:r>
        <w:t>OKLO - Oklo</w:t>
      </w:r>
    </w:p>
    <w:p>
      <w:r>
        <w:drawing>
          <wp:inline xmlns:a="http://schemas.openxmlformats.org/drawingml/2006/main" xmlns:pic="http://schemas.openxmlformats.org/drawingml/2006/picture">
            <wp:extent cx="6035040" cy="4054793"/>
            <wp:docPr id="12" name="Picture 12"/>
            <wp:cNvGraphicFramePr>
              <a:graphicFrameLocks noChangeAspect="1"/>
            </wp:cNvGraphicFramePr>
            <a:graphic>
              <a:graphicData uri="http://schemas.openxmlformats.org/drawingml/2006/picture">
                <pic:pic>
                  <pic:nvPicPr>
                    <pic:cNvPr id="0" name="OKLO_BOLL.png"/>
                    <pic:cNvPicPr/>
                  </pic:nvPicPr>
                  <pic:blipFill>
                    <a:blip r:embed="rId20"/>
                    <a:stretch>
                      <a:fillRect/>
                    </a:stretch>
                  </pic:blipFill>
                  <pic:spPr>
                    <a:xfrm>
                      <a:off x="0" y="0"/>
                      <a:ext cx="6035040" cy="4054793"/>
                    </a:xfrm>
                    <a:prstGeom prst="rect"/>
                  </pic:spPr>
                </pic:pic>
              </a:graphicData>
            </a:graphic>
          </wp:inline>
        </w:drawing>
      </w:r>
    </w:p>
    <w:p>
      <w:pPr>
        <w:pStyle w:val="Heading3"/>
      </w:pPr>
      <w:r>
        <w:t>ASTS - AST SpaceMobile</w:t>
      </w:r>
    </w:p>
    <w:p>
      <w:r>
        <w:drawing>
          <wp:inline xmlns:a="http://schemas.openxmlformats.org/drawingml/2006/main" xmlns:pic="http://schemas.openxmlformats.org/drawingml/2006/picture">
            <wp:extent cx="6035040" cy="4054793"/>
            <wp:docPr id="13" name="Picture 13"/>
            <wp:cNvGraphicFramePr>
              <a:graphicFrameLocks noChangeAspect="1"/>
            </wp:cNvGraphicFramePr>
            <a:graphic>
              <a:graphicData uri="http://schemas.openxmlformats.org/drawingml/2006/picture">
                <pic:pic>
                  <pic:nvPicPr>
                    <pic:cNvPr id="0" name="ASTS_BOLL.png"/>
                    <pic:cNvPicPr/>
                  </pic:nvPicPr>
                  <pic:blipFill>
                    <a:blip r:embed="rId21"/>
                    <a:stretch>
                      <a:fillRect/>
                    </a:stretch>
                  </pic:blipFill>
                  <pic:spPr>
                    <a:xfrm>
                      <a:off x="0" y="0"/>
                      <a:ext cx="6035040" cy="4054793"/>
                    </a:xfrm>
                    <a:prstGeom prst="rect"/>
                  </pic:spPr>
                </pic:pic>
              </a:graphicData>
            </a:graphic>
          </wp:inline>
        </w:drawing>
      </w:r>
    </w:p>
    <w:p>
      <w:pPr>
        <w:pStyle w:val="Heading3"/>
      </w:pPr>
      <w:r>
        <w:t>AVGO - Broadcom Inc.</w:t>
      </w:r>
    </w:p>
    <w:p>
      <w:r>
        <w:drawing>
          <wp:inline xmlns:a="http://schemas.openxmlformats.org/drawingml/2006/main" xmlns:pic="http://schemas.openxmlformats.org/drawingml/2006/picture">
            <wp:extent cx="6035040" cy="4054793"/>
            <wp:docPr id="14" name="Picture 14"/>
            <wp:cNvGraphicFramePr>
              <a:graphicFrameLocks noChangeAspect="1"/>
            </wp:cNvGraphicFramePr>
            <a:graphic>
              <a:graphicData uri="http://schemas.openxmlformats.org/drawingml/2006/picture">
                <pic:pic>
                  <pic:nvPicPr>
                    <pic:cNvPr id="0" name="AVGO_BOLL.png"/>
                    <pic:cNvPicPr/>
                  </pic:nvPicPr>
                  <pic:blipFill>
                    <a:blip r:embed="rId22"/>
                    <a:stretch>
                      <a:fillRect/>
                    </a:stretch>
                  </pic:blipFill>
                  <pic:spPr>
                    <a:xfrm>
                      <a:off x="0" y="0"/>
                      <a:ext cx="6035040" cy="4054793"/>
                    </a:xfrm>
                    <a:prstGeom prst="rect"/>
                  </pic:spPr>
                </pic:pic>
              </a:graphicData>
            </a:graphic>
          </wp:inline>
        </w:drawing>
      </w:r>
    </w:p>
    <w:p>
      <w:pPr>
        <w:pStyle w:val="Heading3"/>
      </w:pPr>
      <w:r>
        <w:t>CIEN - Ciena</w:t>
      </w:r>
    </w:p>
    <w:p>
      <w:r>
        <w:drawing>
          <wp:inline xmlns:a="http://schemas.openxmlformats.org/drawingml/2006/main" xmlns:pic="http://schemas.openxmlformats.org/drawingml/2006/picture">
            <wp:extent cx="6035040" cy="4054793"/>
            <wp:docPr id="15" name="Picture 15"/>
            <wp:cNvGraphicFramePr>
              <a:graphicFrameLocks noChangeAspect="1"/>
            </wp:cNvGraphicFramePr>
            <a:graphic>
              <a:graphicData uri="http://schemas.openxmlformats.org/drawingml/2006/picture">
                <pic:pic>
                  <pic:nvPicPr>
                    <pic:cNvPr id="0" name="CIEN_BOLL.png"/>
                    <pic:cNvPicPr/>
                  </pic:nvPicPr>
                  <pic:blipFill>
                    <a:blip r:embed="rId23"/>
                    <a:stretch>
                      <a:fillRect/>
                    </a:stretch>
                  </pic:blipFill>
                  <pic:spPr>
                    <a:xfrm>
                      <a:off x="0" y="0"/>
                      <a:ext cx="6035040" cy="4054793"/>
                    </a:xfrm>
                    <a:prstGeom prst="rect"/>
                  </pic:spPr>
                </pic:pic>
              </a:graphicData>
            </a:graphic>
          </wp:inline>
        </w:drawing>
      </w:r>
    </w:p>
    <w:p>
      <w:pPr>
        <w:pStyle w:val="Heading3"/>
      </w:pPr>
      <w:r>
        <w:t>NOK - Nokia Oyj</w:t>
      </w:r>
    </w:p>
    <w:p>
      <w:r>
        <w:drawing>
          <wp:inline xmlns:a="http://schemas.openxmlformats.org/drawingml/2006/main" xmlns:pic="http://schemas.openxmlformats.org/drawingml/2006/picture">
            <wp:extent cx="6035040" cy="4054793"/>
            <wp:docPr id="16" name="Picture 16"/>
            <wp:cNvGraphicFramePr>
              <a:graphicFrameLocks noChangeAspect="1"/>
            </wp:cNvGraphicFramePr>
            <a:graphic>
              <a:graphicData uri="http://schemas.openxmlformats.org/drawingml/2006/picture">
                <pic:pic>
                  <pic:nvPicPr>
                    <pic:cNvPr id="0" name="NOK_BOLL.png"/>
                    <pic:cNvPicPr/>
                  </pic:nvPicPr>
                  <pic:blipFill>
                    <a:blip r:embed="rId24"/>
                    <a:stretch>
                      <a:fillRect/>
                    </a:stretch>
                  </pic:blipFill>
                  <pic:spPr>
                    <a:xfrm>
                      <a:off x="0" y="0"/>
                      <a:ext cx="6035040" cy="4054793"/>
                    </a:xfrm>
                    <a:prstGeom prst="rect"/>
                  </pic:spPr>
                </pic:pic>
              </a:graphicData>
            </a:graphic>
          </wp:inline>
        </w:drawing>
      </w:r>
    </w:p>
    <w:p>
      <w:pPr>
        <w:pStyle w:val="Heading3"/>
      </w:pPr>
      <w:r>
        <w:t>POET - POET Technologies</w:t>
      </w:r>
    </w:p>
    <w:p>
      <w:r>
        <w:drawing>
          <wp:inline xmlns:a="http://schemas.openxmlformats.org/drawingml/2006/main" xmlns:pic="http://schemas.openxmlformats.org/drawingml/2006/picture">
            <wp:extent cx="6035040" cy="4054793"/>
            <wp:docPr id="17" name="Picture 17"/>
            <wp:cNvGraphicFramePr>
              <a:graphicFrameLocks noChangeAspect="1"/>
            </wp:cNvGraphicFramePr>
            <a:graphic>
              <a:graphicData uri="http://schemas.openxmlformats.org/drawingml/2006/picture">
                <pic:pic>
                  <pic:nvPicPr>
                    <pic:cNvPr id="0" name="POET_BOLL.png"/>
                    <pic:cNvPicPr/>
                  </pic:nvPicPr>
                  <pic:blipFill>
                    <a:blip r:embed="rId25"/>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