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强势金叉监控报告_2026-09-15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数据对应的美股交易日：2026-09-15</w:t>
      </w:r>
    </w:p>
    <w:p>
      <w:pPr>
        <w:pStyle w:val="ListBullet"/>
      </w:pPr>
      <w:r>
        <w:t>报告生成时间（美东）：2026-09-15 21:29:27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数据获取成功数量：1</w:t>
      </w:r>
    </w:p>
    <w:p>
      <w:pPr>
        <w:pStyle w:val="ListBullet"/>
      </w:pPr>
      <w:r>
        <w:t>评分达到60分及以上的触发股票数量：0</w:t>
      </w:r>
    </w:p>
    <w:p>
      <w:pPr>
        <w:pStyle w:val="ListBullet"/>
      </w:pPr>
      <w:r>
        <w:t>是否执行新闻搜索：否</w:t>
      </w:r>
    </w:p>
    <w:p>
      <w:r>
        <w:t>本交易日没有股票达到60分触发阈值，因此未执行新闻搜索。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