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报告日期：2026-09-18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上升趋势(10)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91.78</w:t>
            </w:r>
          </w:p>
        </w:tc>
        <w:tc>
          <w:tcPr>
            <w:tcW w:type="dxa" w:w="1440"/>
          </w:tcPr>
          <w:p>
            <w:r>
              <w:t>RSI多头结构破坏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6.79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58.52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81.36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20.97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105.17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13.92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7.39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当前价格：91.78</w:t>
      </w:r>
    </w:p>
    <w:p>
      <w:r>
        <w:t>趋势过滤：上升趋势；上升趋势评分：10</w:t>
      </w:r>
    </w:p>
    <w:p>
      <w:r>
        <w:t>当前状态：健康上涨或正常波动</w:t>
      </w:r>
    </w:p>
    <w:p>
      <w:r>
        <w:t>风险评分：总分 1；风险等级：正常波动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RSI：RSI6=54.0；RSI12=54.1；RSI24=54.2；RSI空头排列</w:t>
      </w:r>
    </w:p>
    <w:p>
      <w:pPr>
        <w:pStyle w:val="ListBullet"/>
      </w:pPr>
      <w:r>
        <w:t>MA20/50/200：MA20=91.45；MA50=76.71；MA200=85.88；均线结构暂无明显风险</w:t>
      </w:r>
    </w:p>
    <w:p>
      <w:pPr>
        <w:pStyle w:val="ListBullet"/>
      </w:pPr>
      <w:r>
        <w:t>成交量变化：Volume/MA20=1.80倍；成交量为20日均量的1.80倍</w:t>
      </w:r>
    </w:p>
    <w:p>
      <w:r>
        <w:t>主要风险来源：</w:t>
      </w:r>
    </w:p>
    <w:p>
      <w:pPr>
        <w:pStyle w:val="ListBullet"/>
      </w:pPr>
      <w:r>
        <w:t>RSI多头结构破坏</w:t>
      </w:r>
    </w:p>
    <w:p>
      <w:r>
        <w:t>判断：健康上涨或正常波动。MACD暂无明显转弱；KDJ暂无明显风险；RSI空头排列。</w:t>
      </w:r>
    </w:p>
    <w:p>
      <w:r>
        <w:t>建议观察位置：当前价格 91.78；MA20 91.45；MA50 76.71；MA200 85.88。若后续有效跌破MA50，趋势进一步恶化的概率上升。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当前价格：6.79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RSI：RSI6=40.9；RSI12=40.4；RSI24=43.6；未进入过热见顶评分</w:t>
      </w:r>
    </w:p>
    <w:p>
      <w:pPr>
        <w:pStyle w:val="ListBullet"/>
      </w:pPr>
      <w:r>
        <w:t>MA20/50/200：MA20=7.57；MA50=7.72；MA200=7.40；MA50高于MA200</w:t>
      </w:r>
    </w:p>
    <w:p>
      <w:pPr>
        <w:pStyle w:val="ListBullet"/>
      </w:pPr>
      <w:r>
        <w:t>成交量变化：Volume/MA20=2.53倍；成交量为20日均量的2.53倍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6.79；MA20 7.57；MA50 7.72；MA200 7.40。若后续有效跌破MA50，趋势进一步恶化的概率上升。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当前价格：58.52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RSI：RSI6=40.7；RSI12=43.3；RSI24=44.8；未进入过热见顶评分</w:t>
      </w:r>
    </w:p>
    <w:p>
      <w:pPr>
        <w:pStyle w:val="ListBullet"/>
      </w:pPr>
      <w:r>
        <w:t>MA20/50/200：MA20=61.09；MA50=63.25；MA200=81.68；未满足上升趋势过滤条件</w:t>
      </w:r>
    </w:p>
    <w:p>
      <w:pPr>
        <w:pStyle w:val="ListBullet"/>
      </w:pPr>
      <w:r>
        <w:t>成交量变化：Volume/MA20=2.01倍；成交量为20日均量的2.01倍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58.52；MA20 61.09；MA50 63.25；MA200 81.68。若后续有效跌破MA50，趋势进一步恶化的概率上升。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当前价格：81.36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RSI：RSI6=39.4；RSI12=43.3；RSI24=46.1；未进入过热见顶评分</w:t>
      </w:r>
    </w:p>
    <w:p>
      <w:pPr>
        <w:pStyle w:val="ListBullet"/>
      </w:pPr>
      <w:r>
        <w:t>MA20/50/200：MA20=86.21；MA50=85.07；MA200=92.08；MA20高于MA50</w:t>
      </w:r>
    </w:p>
    <w:p>
      <w:pPr>
        <w:pStyle w:val="ListBullet"/>
      </w:pPr>
      <w:r>
        <w:t>成交量变化：Volume/MA20=2.56倍；成交量为20日均量的2.56倍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81.36；MA20 86.21；MA50 85.07；MA200 92.08。若后续有效跌破MA50，趋势进一步恶化的概率上升。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数据提示：历史数据不足300个交易日，当前仅281个交易日；部分长期均线可能为空。</w:t>
      </w:r>
    </w:p>
    <w:p>
      <w:r>
        <w:t>当前价格：20.97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RSI：RSI6=45.3；RSI12=43.8；RSI24=43.9；未进入过热见顶评分</w:t>
      </w:r>
    </w:p>
    <w:p>
      <w:pPr>
        <w:pStyle w:val="ListBullet"/>
      </w:pPr>
      <w:r>
        <w:t>MA20/50/200：MA20=21.63；MA50=22.24；MA200=27.69；未满足上升趋势过滤条件</w:t>
      </w:r>
    </w:p>
    <w:p>
      <w:pPr>
        <w:pStyle w:val="ListBullet"/>
      </w:pPr>
      <w:r>
        <w:t>成交量变化：Volume/MA20=3.46倍；成交量为20日均量的3.46倍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20.97；MA20 21.63；MA50 22.24；MA200 27.69。若后续有效跌破MA50，趋势进一步恶化的概率上升。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当前价格：105.17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RSI：RSI6=56.2；RSI12=47.7；RSI24=46.6；未进入过热见顶评分</w:t>
      </w:r>
    </w:p>
    <w:p>
      <w:pPr>
        <w:pStyle w:val="ListBullet"/>
      </w:pPr>
      <w:r>
        <w:t>MA20/50/200：MA20=105.91；MA50=112.65；MA200=105.08；收盘价站上MA200；MA50高于MA200</w:t>
      </w:r>
    </w:p>
    <w:p>
      <w:pPr>
        <w:pStyle w:val="ListBullet"/>
      </w:pPr>
      <w:r>
        <w:t>成交量变化：Volume/MA20=1.40倍；成交量为20日均量的1.40倍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105.17；MA20 105.91；MA50 112.65；MA200 105.08。若后续有效跌破MA50，趋势进一步恶化的概率上升。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当前价格：13.92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RSI：RSI6=37.4；RSI12=39.5；RSI24=42.1；未进入过热见顶评分</w:t>
      </w:r>
    </w:p>
    <w:p>
      <w:pPr>
        <w:pStyle w:val="ListBullet"/>
      </w:pPr>
      <w:r>
        <w:t>MA20/50/200：MA20=15.18；MA50=15.14；MA200=20.03；MA20高于MA50</w:t>
      </w:r>
    </w:p>
    <w:p>
      <w:pPr>
        <w:pStyle w:val="ListBullet"/>
      </w:pPr>
      <w:r>
        <w:t>成交量变化：Volume/MA20=2.28倍；成交量为20日均量的2.28倍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13.92；MA20 15.18；MA50 15.14；MA200 20.03。若后续有效跌破MA50，趋势进一步恶化的概率上升。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当前价格：7.39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RSI：RSI6=46.5；RSI12=42.5；RSI24=44.7；未进入过热见顶评分</w:t>
      </w:r>
    </w:p>
    <w:p>
      <w:pPr>
        <w:pStyle w:val="ListBullet"/>
      </w:pPr>
      <w:r>
        <w:t>MA20/50/200：MA20=7.67；MA50=7.95；MA200=9.51；未满足上升趋势过滤条件</w:t>
      </w:r>
    </w:p>
    <w:p>
      <w:pPr>
        <w:pStyle w:val="ListBullet"/>
      </w:pPr>
      <w:r>
        <w:t>成交量变化：Volume/MA20=1.06倍；成交量为20日均量的1.06倍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7.39；MA20 7.67；MA50 7.95；MA200 9.51。若后续有效跌破MA50，趋势进一步恶化的概率上升。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