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报告日期：2026-09-22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上升趋势(6)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短线转弱</w:t>
            </w:r>
          </w:p>
        </w:tc>
        <w:tc>
          <w:tcPr>
            <w:tcW w:type="dxa" w:w="1440"/>
          </w:tcPr>
          <w:p>
            <w:r>
              <w:t>86.76</w:t>
            </w:r>
          </w:p>
        </w:tc>
        <w:tc>
          <w:tcPr>
            <w:tcW w:type="dxa" w:w="1440"/>
          </w:tcPr>
          <w:p>
            <w:r>
              <w:t>MACD处于零轴下方；跌破200日均线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7.89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63.69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22.83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107.00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16.24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上升趋势(10)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94.59</w:t>
            </w:r>
          </w:p>
        </w:tc>
        <w:tc>
          <w:tcPr>
            <w:tcW w:type="dxa" w:w="1440"/>
          </w:tcPr>
          <w:p>
            <w:r>
              <w:t>暂无明显技术风险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7.72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CRWV</w:t>
      </w:r>
    </w:p>
    <w:p>
      <w:r>
        <w:t>当前价格：86.76</w:t>
      </w:r>
    </w:p>
    <w:p>
      <w:r>
        <w:t>趋势过滤：上升趋势；上升趋势评分：6</w:t>
      </w:r>
    </w:p>
    <w:p>
      <w:r>
        <w:t>当前状态：短线调整风险</w:t>
      </w:r>
    </w:p>
    <w:p>
      <w:r>
        <w:t>风险评分：总分 4；风险等级：短线转弱</w:t>
      </w:r>
    </w:p>
    <w:p>
      <w:r>
        <w:t>技术指标：</w:t>
      </w:r>
    </w:p>
    <w:p>
      <w:pPr>
        <w:pStyle w:val="ListBullet"/>
      </w:pPr>
      <w:r>
        <w:t>MACD状态：DIF位于零轴下方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RSI：RSI6=55.2；RSI12=50.5；RSI24=49.3；RSI暂无明显风险</w:t>
      </w:r>
    </w:p>
    <w:p>
      <w:pPr>
        <w:pStyle w:val="ListBullet"/>
      </w:pPr>
      <w:r>
        <w:t>MA20/50/200：MA20=86.11；MA50=85.07；MA200=92.16；跌破MA200</w:t>
      </w:r>
    </w:p>
    <w:p>
      <w:pPr>
        <w:pStyle w:val="ListBullet"/>
      </w:pPr>
      <w:r>
        <w:t>成交量变化：Volume/MA20=0.98倍；成交量为20日均量的0.98倍</w:t>
      </w:r>
    </w:p>
    <w:p>
      <w:r>
        <w:t>主要风险来源：</w:t>
      </w:r>
    </w:p>
    <w:p>
      <w:pPr>
        <w:pStyle w:val="ListBullet"/>
      </w:pPr>
      <w:r>
        <w:t>MACD处于零轴下方</w:t>
      </w:r>
    </w:p>
    <w:p>
      <w:pPr>
        <w:pStyle w:val="ListBullet"/>
      </w:pPr>
      <w:r>
        <w:t>跌破200日均线</w:t>
      </w:r>
    </w:p>
    <w:p>
      <w:r>
        <w:t>判断：短线调整风险。DIF位于零轴下方；KDJ暂无明显风险；RSI暂无明显风险。</w:t>
      </w:r>
    </w:p>
    <w:p>
      <w:r>
        <w:t>建议观察位置：当前价格 86.76；MA20 86.11；MA50 85.07；MA200 92.16。若后续有效跌破MA50，趋势进一步恶化的概率上升。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当前价格：7.89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RSI：RSI6=67.9；RSI12=55.1；RSI24=49.8；未进入过热见顶评分</w:t>
      </w:r>
    </w:p>
    <w:p>
      <w:pPr>
        <w:pStyle w:val="ListBullet"/>
      </w:pPr>
      <w:r>
        <w:t>MA20/50/200：MA20=7.54；MA50=7.70；MA200=7.44；收盘价站上MA20；收盘价站上MA50；收盘价站上MA200；MA50高于MA200</w:t>
      </w:r>
    </w:p>
    <w:p>
      <w:pPr>
        <w:pStyle w:val="ListBullet"/>
      </w:pPr>
      <w:r>
        <w:t>成交量变化：Volume/MA20=4.48倍；成交量为20日均量的4.48倍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7.89；MA20 7.54；MA50 7.70；MA200 7.44。若后续有效跌破MA50，趋势进一步恶化的概率上升。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当前价格：63.69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RSI：RSI6=60.2；RSI12=53.0；RSI24=48.9；未进入过热见顶评分</w:t>
      </w:r>
    </w:p>
    <w:p>
      <w:pPr>
        <w:pStyle w:val="ListBullet"/>
      </w:pPr>
      <w:r>
        <w:t>MA20/50/200：MA20=60.81；MA50=62.94；MA200=81.71；收盘价站上MA20；收盘价站上MA50；近20日收益为正</w:t>
      </w:r>
    </w:p>
    <w:p>
      <w:pPr>
        <w:pStyle w:val="ListBullet"/>
      </w:pPr>
      <w:r>
        <w:t>成交量变化：Volume/MA20=1.07倍；成交量为20日均量的1.07倍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63.69；MA20 60.81；MA50 62.94；MA200 81.71。若后续有效跌破MA50，趋势进一步恶化的概率上升。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数据提示：历史数据不足300个交易日，当前仅282个交易日；部分长期均线可能为空。</w:t>
      </w:r>
    </w:p>
    <w:p>
      <w:r>
        <w:t>当前价格：22.83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RSI：RSI6=64.1；RSI12=54.5；RSI24=48.6；未进入过热见顶评分</w:t>
      </w:r>
    </w:p>
    <w:p>
      <w:pPr>
        <w:pStyle w:val="ListBullet"/>
      </w:pPr>
      <w:r>
        <w:t>MA20/50/200：MA20=21.55；MA50=22.22；MA200=27.72；收盘价站上MA20；收盘价站上MA50</w:t>
      </w:r>
    </w:p>
    <w:p>
      <w:pPr>
        <w:pStyle w:val="ListBullet"/>
      </w:pPr>
      <w:r>
        <w:t>成交量变化：Volume/MA20=1.04倍；成交量为20日均量的1.04倍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22.83；MA20 21.55；MA50 22.22；MA200 27.72。若后续有效跌破MA50，趋势进一步恶化的概率上升。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当前价格：107.00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RSI：RSI6=57.8；RSI12=49.3；RSI24=47.3；未进入过热见顶评分</w:t>
      </w:r>
    </w:p>
    <w:p>
      <w:pPr>
        <w:pStyle w:val="ListBullet"/>
      </w:pPr>
      <w:r>
        <w:t>MA20/50/200：MA20=105.07；MA50=112.33；MA200=105.90；收盘价站上MA20；收盘价站上MA200；MA50高于MA200</w:t>
      </w:r>
    </w:p>
    <w:p>
      <w:pPr>
        <w:pStyle w:val="ListBullet"/>
      </w:pPr>
      <w:r>
        <w:t>成交量变化：Volume/MA20=1.13倍；成交量为20日均量的1.13倍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107.00；MA20 105.07；MA50 112.33；MA200 105.90。若后续有效跌破MA50，趋势进一步恶化的概率上升。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当前价格：16.24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RSI：RSI6=68.6；RSI12=57.2；RSI24=49.7；未进入过热见顶评分</w:t>
      </w:r>
    </w:p>
    <w:p>
      <w:pPr>
        <w:pStyle w:val="ListBullet"/>
      </w:pPr>
      <w:r>
        <w:t>MA20/50/200：MA20=15.03；MA50=15.15；MA200=20.09；收盘价站上MA20；收盘价站上MA50</w:t>
      </w:r>
    </w:p>
    <w:p>
      <w:pPr>
        <w:pStyle w:val="ListBullet"/>
      </w:pPr>
      <w:r>
        <w:t>成交量变化：Volume/MA20=1.24倍；成交量为20日均量的1.24倍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16.24；MA20 15.03；MA50 15.15；MA200 20.09。若后续有效跌破MA50，趋势进一步恶化的概率上升。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当前价格：94.59</w:t>
      </w:r>
    </w:p>
    <w:p>
      <w:r>
        <w:t>趋势过滤：上升趋势；上升趋势评分：10</w:t>
      </w:r>
    </w:p>
    <w:p>
      <w:r>
        <w:t>当前状态：健康上涨或正常波动</w:t>
      </w:r>
    </w:p>
    <w:p>
      <w:r>
        <w:t>风险评分：总分 0；风险等级：正常波动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RSI：RSI6=58.2；RSI12=56.3；RSI24=55.4；RSI暂无明显风险</w:t>
      </w:r>
    </w:p>
    <w:p>
      <w:pPr>
        <w:pStyle w:val="ListBullet"/>
      </w:pPr>
      <w:r>
        <w:t>MA20/50/200：MA20=92.12；MA50=77.91；MA200=86.01；均线结构暂无明显风险</w:t>
      </w:r>
    </w:p>
    <w:p>
      <w:pPr>
        <w:pStyle w:val="ListBullet"/>
      </w:pPr>
      <w:r>
        <w:t>成交量变化：Volume/MA20=0.77倍；成交量为20日均量的0.77倍</w:t>
      </w:r>
    </w:p>
    <w:p>
      <w:r>
        <w:t>主要风险来源：</w:t>
      </w:r>
    </w:p>
    <w:p>
      <w:pPr>
        <w:pStyle w:val="ListBullet"/>
      </w:pPr>
      <w:r>
        <w:t>暂无明显技术风险</w:t>
      </w:r>
    </w:p>
    <w:p>
      <w:r>
        <w:t>判断：健康上涨或正常波动。MACD暂无明显转弱；KDJ暂无明显风险；RSI暂无明显风险。</w:t>
      </w:r>
    </w:p>
    <w:p>
      <w:r>
        <w:t>建议观察位置：当前价格 94.59；MA20 92.12；MA50 77.91；MA200 86.01。若后续有效跌破MA50，趋势进一步恶化的概率上升。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当前价格：7.72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RSI：RSI6=68.6；RSI12=51.1；RSI24=47.7；未进入过热见顶评分</w:t>
      </w:r>
    </w:p>
    <w:p>
      <w:pPr>
        <w:pStyle w:val="ListBullet"/>
      </w:pPr>
      <w:r>
        <w:t>MA20/50/200：MA20=7.58；MA50=7.97；MA200=9.50；收盘价站上MA20</w:t>
      </w:r>
    </w:p>
    <w:p>
      <w:pPr>
        <w:pStyle w:val="ListBullet"/>
      </w:pPr>
      <w:r>
        <w:t>成交量变化：Volume/MA20=1.15倍；成交量为20日均量的1.15倍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7.72；MA20 7.58；MA50 7.97；MA200 9.50。若后续有效跌破MA50，趋势进一步恶化的概率上升。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