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报告日期：2026-09-18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91.78</w:t>
            </w:r>
          </w:p>
        </w:tc>
        <w:tc>
          <w:tcPr>
            <w:tcW w:type="dxa" w:w="1234"/>
          </w:tcPr>
          <w:p>
            <w:r>
              <w:t>短线反弹正常，暂无明显过热衰竭信号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105.17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7.39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6.79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20.97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58.52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81.36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13.92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当前价格：91.78</w:t>
      </w:r>
    </w:p>
    <w:p>
      <w:r>
        <w:t>短线状态：短线反弹确认；反弹确认分：5</w:t>
      </w:r>
    </w:p>
    <w:p>
      <w:r>
        <w:t>短线风险分：0；风险等级：短线反弹正常</w:t>
      </w:r>
    </w:p>
    <w:p>
      <w:r>
        <w:t>指标摘要：RSI6/RSI12=54.0/54.1；K/D/J=38.3/37.4/40.1；偏离MA20=0.36%；近5日涨幅=1.30%；量能=1.80倍。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短线反弹正常，暂无明显过热衰竭信号</w:t>
      </w:r>
    </w:p>
    <w:p>
      <w:r>
        <w:t>建议观察位置：当前价格 91.78；MA5 88.21；MA10 91.32；MA20 91.45。若跌破MA5，短线反弹降温；若跌破MA20，反弹结构可能明显转弱。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当前价格：105.17</w:t>
      </w:r>
    </w:p>
    <w:p>
      <w:r>
        <w:t>短线状态：未形成短线反弹；反弹确认分：3</w:t>
      </w:r>
    </w:p>
    <w:p>
      <w:r>
        <w:t>短线风险分：0；风险等级：未形成短线反弹，不进入过热评分</w:t>
      </w:r>
    </w:p>
    <w:p>
      <w:r>
        <w:t>指标摘要：RSI6/RSI12=56.2/47.7；K/D/J=27.3/23.2/35.5；偏离MA20=-0.70%；近5日涨幅=-0.18%；量能=1.40倍。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105.17；MA5 98.20；MA10 102.47；MA20 105.91。若跌破MA5，短线反弹降温；若跌破MA20，反弹结构可能明显转弱。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当前价格：7.39</w:t>
      </w:r>
    </w:p>
    <w:p>
      <w:r>
        <w:t>短线状态：未形成短线反弹；反弹确认分：3</w:t>
      </w:r>
    </w:p>
    <w:p>
      <w:r>
        <w:t>短线风险分：0；风险等级：未形成短线反弹，不进入过热评分</w:t>
      </w:r>
    </w:p>
    <w:p>
      <w:r>
        <w:t>指标摘要：RSI6/RSI12=46.5/42.5；K/D/J=35.8/29.3/48.9；偏离MA20=-3.69%；近5日涨幅=2.21%；量能=1.06倍。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7.39；MA5 7.29；MA10 7.35；MA20 7.67。若跌破MA5，短线反弹降温；若跌破MA20，反弹结构可能明显转弱。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当前价格：6.79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指标摘要：RSI6/RSI12=40.9/40.4；K/D/J=22.6/18.3/31.1；偏离MA20=-10.30%；近5日涨幅=-4.37%；量能=2.53倍。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6.79；MA5 6.58；MA10 7.02；MA20 7.57。若跌破MA5，短线反弹降温；若跌破MA20，反弹结构可能明显转弱。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当前价格：20.97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指标摘要：RSI6/RSI12=45.3/43.8；K/D/J=33.8/30.2/41.1；偏离MA20=-3.06%；近5日涨幅=-0.76%；量能=3.46倍。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20.97；MA5 20.96；MA10 21.32；MA20 21.63。若跌破MA5，短线反弹降温；若跌破MA20，反弹结构可能明显转弱。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当前价格：58.52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指标摘要：RSI6/RSI12=40.7/43.3；K/D/J=29.4/35.0/18.2；偏离MA20=-4.20%；近5日涨幅=-2.24%；量能=2.01倍。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58.52；MA5 59.85；MA10 60.99；MA20 61.09。若跌破MA5，短线反弹降温；若跌破MA20，反弹结构可能明显转弱。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当前价格：81.36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指标摘要：RSI6/RSI12=39.4/43.3；K/D/J=15.8/23.9/-0.5；偏离MA20=-5.62%；近5日涨幅=-8.57%；量能=2.56倍。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81.36；MA5 81.70；MA10 87.07；MA20 86.21。若跌破MA5，短线反弹降温；若跌破MA20，反弹结构可能明显转弱。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当前价格：13.92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指标摘要：RSI6/RSI12=37.4/39.5；K/D/J=23.5/21.0/28.6；偏离MA20=-8.30%；近5日涨幅=-3.00%；量能=2.28倍。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13.92；MA5 14.07；MA10 14.47；MA20 15.18。若跌破MA5，短线反弹降温；若跌破MA20，反弹结构可能明显转弱。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