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报告日期：2026-09-28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24.11</w:t>
            </w:r>
          </w:p>
        </w:tc>
        <w:tc>
          <w:tcPr>
            <w:tcW w:type="dxa" w:w="1234"/>
          </w:tcPr>
          <w:p>
            <w:r>
              <w:t>偏离MA20超过8%；放量冲高后缩量；RSI6掉头向下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61.00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15.20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7.68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7.09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85.07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96.82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85.80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当前价格：24.11</w:t>
      </w:r>
    </w:p>
    <w:p>
      <w:r>
        <w:t>短线状态：短线反弹确认；反弹确认分：7</w:t>
      </w:r>
    </w:p>
    <w:p>
      <w:r>
        <w:t>短线风险分：3；风险等级：短线反弹正常</w:t>
      </w:r>
    </w:p>
    <w:p>
      <w:r>
        <w:t>指标摘要：RSI6/RSI12=65.4/58.5；K/D/J=75.8/68.8/89.7；偏离MA20=10.40%；近5日涨幅=5.63%；量能=1.20倍。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RSI6掉头向下</w:t>
      </w:r>
    </w:p>
    <w:p>
      <w:r>
        <w:t>建议观察位置：当前价格 24.11；MA5 23.36；MA10 22.31；MA20 21.84。若跌破MA5，短线反弹降温；若跌破MA20，反弹结构可能明显转弱。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当前价格：61.00</w:t>
      </w:r>
    </w:p>
    <w:p>
      <w:r>
        <w:t>短线状态：短线反弹初步成立；反弹确认分：4</w:t>
      </w:r>
    </w:p>
    <w:p>
      <w:r>
        <w:t>短线风险分：2；风险等级：短线反弹正常</w:t>
      </w:r>
    </w:p>
    <w:p>
      <w:r>
        <w:t>指标摘要：RSI6/RSI12=49.1/48.3；K/D/J=47.1/45.5/50.2；偏离MA20=0.10%；近5日涨幅=-1.44%；量能=0.77倍。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61.00；MA5 61.51；MA10 60.87；MA20 60.94。若跌破MA5，短线反弹降温；若跌破MA20，反弹结构可能明显转弱。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当前价格：15.20</w:t>
      </w:r>
    </w:p>
    <w:p>
      <w:r>
        <w:t>短线状态：短线反弹初步成立；反弹确认分：4</w:t>
      </w:r>
    </w:p>
    <w:p>
      <w:r>
        <w:t>短线风险分：2；风险等级：短线反弹正常</w:t>
      </w:r>
    </w:p>
    <w:p>
      <w:r>
        <w:t>指标摘要：RSI6/RSI12=49.7/49.1；K/D/J=68.2/63.0/78.6；偏离MA20=1.99%；近5日涨幅=-3.31%；量能=1.08倍。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15.20；MA5 15.60；MA10 15.02；MA20 14.90。若跌破MA5，短线反弹降温；若跌破MA20，反弹结构可能明显转弱。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当前价格：7.68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指标摘要：RSI6/RSI12=60.9/50.8；K/D/J=63.4/56.8/76.5；偏离MA20=3.22%；近5日涨幅=4.07%；量能=0.83倍。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7.68；MA5 7.61；MA10 7.46；MA20 7.44。若跌破MA5，短线反弹降温；若跌破MA20，反弹结构可能明显转弱。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当前价格：7.09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指标摘要：RSI6/RSI12=44.8/45.5；K/D/J=45.5/44.0/48.6；偏离MA20=-2.62%；近5日涨幅=-10.14%；量能=0.70倍。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7.09；MA5 7.34；MA10 7.07；MA20 7.28。若跌破MA5，短线反弹降温；若跌破MA20，反弹结构可能明显转弱。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当前价格：85.07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指标摘要：RSI6/RSI12=45.5/47.6；K/D/J=60.4/52.9/75.4；偏离MA20=-1.36%；近5日涨幅=-0.42%；量能=0.67倍。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85.07；MA5 87.29；MA10 84.74；MA20 86.24。若跌破MA5，短线反弹降温；若跌破MA20，反弹结构可能明显转弱。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当前价格：96.82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指标摘要：RSI6/RSI12=33.6/40.3；K/D/J=37.2/42.3/27.1；偏离MA20=-5.78%；近5日涨幅=-10.90%；量能=1.21倍。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96.82；MA5 101.46；MA10 101.12；MA20 102.76。若跌破MA5，短线反弹降温；若跌破MA20，反弹结构可能明显转弱。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当前价格：85.80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指标摘要：RSI6/RSI12=37.7/46.5；K/D/J=50.3/54.2/42.6；偏离MA20=-6.67%；近5日涨幅=-9.20%；量能=0.64倍。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85.80；MA5 90.82；MA10 89.22；MA20 91.93。若跌破MA5，短线反弹降温；若跌破MA20，反弹结构可能明显转弱。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