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美股 BOLL 布林线监控报告 - 2026-08-20</w:t>
      </w:r>
    </w:p>
    <w:p>
      <w:pPr>
        <w:pStyle w:val="ListBullet"/>
      </w:pPr>
      <w:r>
        <w:t>生成时间（美东）：2026-08-20 22:48:37 EDT</w:t>
      </w:r>
    </w:p>
    <w:p>
      <w:pPr>
        <w:pStyle w:val="ListBullet"/>
      </w:pPr>
      <w:r>
        <w:t>最新可用交易日：2026-08-20</w:t>
      </w:r>
    </w:p>
    <w:p>
      <w:pPr>
        <w:pStyle w:val="ListBullet"/>
      </w:pPr>
      <w:r>
        <w:t>数据源优先级：Yahoo Chart API -&gt; yfinance（可选备用，无需额外配置）</w:t>
      </w:r>
    </w:p>
    <w:p>
      <w:pPr>
        <w:pStyle w:val="ListBullet"/>
      </w:pPr>
      <w:r>
        <w:t>策略说明：本报告按近8个月 Bandwidth 分位判断收口；低于10%且持续5天以上或创近100日新低为强收口，低于20%且持续5天以上为中等收口。弱收口必须满足 Bandwidth 低于近8个月30%分位，并且最近8个交易日及以上连续下降，或连续8个交易日及以上维持低于近8个月30%分位。观察信号要求弱收口且股价接近中轨。向上开口要求 Bandwidth 最近2-5日明显扩大、上轨向上、下轨向下、股价突破或接近上轨并伴随成交量放大；向下开口不列入触发。放量突破上轨按量能、涨幅和带宽扩张分级。</w:t>
      </w:r>
    </w:p>
    <w:p>
      <w:pPr>
        <w:pStyle w:val="ListBullet"/>
      </w:pPr>
      <w:r>
        <w:t>说明：本报告只监控 BOLL 布林线，不构成投资建议。</w:t>
      </w:r>
    </w:p>
    <w:p>
      <w:pPr>
        <w:pStyle w:val="Heading2"/>
      </w:pPr>
      <w:r>
        <w:t>一、今日触发名单</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股票代码</w:t>
            </w:r>
          </w:p>
        </w:tc>
        <w:tc>
          <w:tcPr>
            <w:tcW w:type="dxa" w:w="960"/>
          </w:tcPr>
          <w:p>
            <w:r>
              <w:t>公司名称</w:t>
            </w:r>
          </w:p>
        </w:tc>
        <w:tc>
          <w:tcPr>
            <w:tcW w:type="dxa" w:w="960"/>
          </w:tcPr>
          <w:p>
            <w:r>
              <w:t>等级</w:t>
            </w:r>
          </w:p>
        </w:tc>
        <w:tc>
          <w:tcPr>
            <w:tcW w:type="dxa" w:w="960"/>
          </w:tcPr>
          <w:p>
            <w:r>
              <w:t>触发信号</w:t>
            </w:r>
          </w:p>
        </w:tc>
        <w:tc>
          <w:tcPr>
            <w:tcW w:type="dxa" w:w="960"/>
          </w:tcPr>
          <w:p>
            <w:r>
              <w:t>位置</w:t>
            </w:r>
          </w:p>
        </w:tc>
        <w:tc>
          <w:tcPr>
            <w:tcW w:type="dxa" w:w="960"/>
          </w:tcPr>
          <w:p>
            <w:r>
              <w:t>Bandwidth</w:t>
            </w:r>
          </w:p>
        </w:tc>
        <w:tc>
          <w:tcPr>
            <w:tcW w:type="dxa" w:w="960"/>
          </w:tcPr>
          <w:p>
            <w:r>
              <w:t>%B</w:t>
            </w:r>
          </w:p>
        </w:tc>
        <w:tc>
          <w:tcPr>
            <w:tcW w:type="dxa" w:w="960"/>
          </w:tcPr>
          <w:p>
            <w:r>
              <w:t>量比</w:t>
            </w:r>
          </w:p>
        </w:tc>
        <w:tc>
          <w:tcPr>
            <w:tcW w:type="dxa" w:w="960"/>
          </w:tcPr>
          <w:p>
            <w:r>
              <w:t>简要结论</w:t>
            </w:r>
          </w:p>
        </w:tc>
      </w:tr>
      <w:tr>
        <w:tc>
          <w:tcPr>
            <w:tcW w:type="dxa" w:w="960"/>
          </w:tcPr>
          <w:p>
            <w:r>
              <w:t>COIN</w:t>
            </w:r>
          </w:p>
        </w:tc>
        <w:tc>
          <w:tcPr>
            <w:tcW w:type="dxa" w:w="960"/>
          </w:tcPr>
          <w:p>
            <w:r>
              <w:t>Coinbase Global, Inc.</w:t>
            </w:r>
          </w:p>
        </w:tc>
        <w:tc>
          <w:tcPr>
            <w:tcW w:type="dxa" w:w="960"/>
          </w:tcPr>
          <w:p>
            <w:r>
              <w:t>A 强信号</w:t>
            </w:r>
          </w:p>
        </w:tc>
        <w:tc>
          <w:tcPr>
            <w:tcW w:type="dxa" w:w="960"/>
          </w:tcPr>
          <w:p>
            <w:r>
              <w:t>布林带向上开口（最近1天）；成交量放大；放量突破上轨-强；中轨反弹并接近上轨</w:t>
            </w:r>
          </w:p>
        </w:tc>
        <w:tc>
          <w:tcPr>
            <w:tcW w:type="dxa" w:w="960"/>
          </w:tcPr>
          <w:p>
            <w:r>
              <w:t>突破上轨</w:t>
            </w:r>
          </w:p>
        </w:tc>
        <w:tc>
          <w:tcPr>
            <w:tcW w:type="dxa" w:w="960"/>
          </w:tcPr>
          <w:p>
            <w:r>
              <w:t>20.87%</w:t>
            </w:r>
          </w:p>
        </w:tc>
        <w:tc>
          <w:tcPr>
            <w:tcW w:type="dxa" w:w="960"/>
          </w:tcPr>
          <w:p>
            <w:r>
              <w:t>1.058</w:t>
            </w:r>
          </w:p>
        </w:tc>
        <w:tc>
          <w:tcPr>
            <w:tcW w:type="dxa" w:w="960"/>
          </w:tcPr>
          <w:p>
            <w:r>
              <w:t>2.05</w:t>
            </w:r>
          </w:p>
        </w:tc>
        <w:tc>
          <w:tcPr>
            <w:tcW w:type="dxa" w:w="960"/>
          </w:tcPr>
          <w:p>
            <w:r>
              <w:t>股价放量突破布林线上轨，说明短线多头动能较强，可能进入强势上涨阶段，但也要注意短线过热和回</w:t>
            </w:r>
          </w:p>
        </w:tc>
      </w:tr>
      <w:tr>
        <w:tc>
          <w:tcPr>
            <w:tcW w:type="dxa" w:w="960"/>
          </w:tcPr>
          <w:p>
            <w:r>
              <w:t>CRCL</w:t>
            </w:r>
          </w:p>
        </w:tc>
        <w:tc>
          <w:tcPr>
            <w:tcW w:type="dxa" w:w="960"/>
          </w:tcPr>
          <w:p>
            <w:r>
              <w:t>Circle Internet Group</w:t>
            </w:r>
          </w:p>
        </w:tc>
        <w:tc>
          <w:tcPr>
            <w:tcW w:type="dxa" w:w="960"/>
          </w:tcPr>
          <w:p>
            <w:r>
              <w:t>A 强信号</w:t>
            </w:r>
          </w:p>
        </w:tc>
        <w:tc>
          <w:tcPr>
            <w:tcW w:type="dxa" w:w="960"/>
          </w:tcPr>
          <w:p>
            <w:r>
              <w:t>布林带向上开口（最近5天）；成交量放大；放量突破上轨-强；连续2日站上上轨</w:t>
            </w:r>
          </w:p>
        </w:tc>
        <w:tc>
          <w:tcPr>
            <w:tcW w:type="dxa" w:w="960"/>
          </w:tcPr>
          <w:p>
            <w:r>
              <w:t>突破上轨</w:t>
            </w:r>
          </w:p>
        </w:tc>
        <w:tc>
          <w:tcPr>
            <w:tcW w:type="dxa" w:w="960"/>
          </w:tcPr>
          <w:p>
            <w:r>
              <w:t>36.41%</w:t>
            </w:r>
          </w:p>
        </w:tc>
        <w:tc>
          <w:tcPr>
            <w:tcW w:type="dxa" w:w="960"/>
          </w:tcPr>
          <w:p>
            <w:r>
              <w:t>1.126</w:t>
            </w:r>
          </w:p>
        </w:tc>
        <w:tc>
          <w:tcPr>
            <w:tcW w:type="dxa" w:w="960"/>
          </w:tcPr>
          <w:p>
            <w:r>
              <w:t>1.82</w:t>
            </w:r>
          </w:p>
        </w:tc>
        <w:tc>
          <w:tcPr>
            <w:tcW w:type="dxa" w:w="960"/>
          </w:tcPr>
          <w:p>
            <w:r>
              <w:t>股价放量突破布林线上轨，说明短线多头动能较强，可能进入强势上涨阶段，但也要注意短线过热和回</w:t>
            </w:r>
          </w:p>
        </w:tc>
      </w:tr>
      <w:tr>
        <w:tc>
          <w:tcPr>
            <w:tcW w:type="dxa" w:w="960"/>
          </w:tcPr>
          <w:p>
            <w:r>
              <w:t>CRSP</w:t>
            </w:r>
          </w:p>
        </w:tc>
        <w:tc>
          <w:tcPr>
            <w:tcW w:type="dxa" w:w="960"/>
          </w:tcPr>
          <w:p>
            <w:r>
              <w:t>CRISPR Therapeutics AG</w:t>
            </w:r>
          </w:p>
        </w:tc>
        <w:tc>
          <w:tcPr>
            <w:tcW w:type="dxa" w:w="960"/>
          </w:tcPr>
          <w:p>
            <w:r>
              <w:t>B 中等信号</w:t>
            </w:r>
          </w:p>
        </w:tc>
        <w:tc>
          <w:tcPr>
            <w:tcW w:type="dxa" w:w="960"/>
          </w:tcPr>
          <w:p>
            <w:r>
              <w:t>布林带向上开口（最近2天）；成交量放大</w:t>
            </w:r>
          </w:p>
        </w:tc>
        <w:tc>
          <w:tcPr>
            <w:tcW w:type="dxa" w:w="960"/>
          </w:tcPr>
          <w:p>
            <w:r>
              <w:t>靠近上轨</w:t>
            </w:r>
          </w:p>
        </w:tc>
        <w:tc>
          <w:tcPr>
            <w:tcW w:type="dxa" w:w="960"/>
          </w:tcPr>
          <w:p>
            <w:r>
              <w:t>27.55%</w:t>
            </w:r>
          </w:p>
        </w:tc>
        <w:tc>
          <w:tcPr>
            <w:tcW w:type="dxa" w:w="960"/>
          </w:tcPr>
          <w:p>
            <w:r>
              <w:t>0.929</w:t>
            </w:r>
          </w:p>
        </w:tc>
        <w:tc>
          <w:tcPr>
            <w:tcW w:type="dxa" w:w="960"/>
          </w:tcPr>
          <w:p>
            <w:r>
              <w:t>1.92</w:t>
            </w:r>
          </w:p>
        </w:tc>
        <w:tc>
          <w:tcPr>
            <w:tcW w:type="dxa" w:w="960"/>
          </w:tcPr>
          <w:p>
            <w:r>
              <w:t>布林带向上开口，说明波动率开始放大，股价接近上轨，可能进入趋势启动观察阶段，需要继续结合突</w:t>
            </w:r>
          </w:p>
        </w:tc>
      </w:tr>
      <w:tr>
        <w:tc>
          <w:tcPr>
            <w:tcW w:type="dxa" w:w="960"/>
          </w:tcPr>
          <w:p>
            <w:r>
              <w:t>MRVL</w:t>
            </w:r>
          </w:p>
        </w:tc>
        <w:tc>
          <w:tcPr>
            <w:tcW w:type="dxa" w:w="960"/>
          </w:tcPr>
          <w:p>
            <w:r>
              <w:t>Marvell Technology</w:t>
            </w:r>
          </w:p>
        </w:tc>
        <w:tc>
          <w:tcPr>
            <w:tcW w:type="dxa" w:w="960"/>
          </w:tcPr>
          <w:p>
            <w:r>
              <w:t>C 观察信号</w:t>
            </w:r>
          </w:p>
        </w:tc>
        <w:tc>
          <w:tcPr>
            <w:tcW w:type="dxa" w:w="960"/>
          </w:tcPr>
          <w:p>
            <w:r>
              <w:t>突破上轨但量能不足-弱</w:t>
            </w:r>
          </w:p>
        </w:tc>
        <w:tc>
          <w:tcPr>
            <w:tcW w:type="dxa" w:w="960"/>
          </w:tcPr>
          <w:p>
            <w:r>
              <w:t>突破上轨</w:t>
            </w:r>
          </w:p>
        </w:tc>
        <w:tc>
          <w:tcPr>
            <w:tcW w:type="dxa" w:w="960"/>
          </w:tcPr>
          <w:p>
            <w:r>
              <w:t>40.95%</w:t>
            </w:r>
          </w:p>
        </w:tc>
        <w:tc>
          <w:tcPr>
            <w:tcW w:type="dxa" w:w="960"/>
          </w:tcPr>
          <w:p>
            <w:r>
              <w:t>1.001</w:t>
            </w:r>
          </w:p>
        </w:tc>
        <w:tc>
          <w:tcPr>
            <w:tcW w:type="dxa" w:w="960"/>
          </w:tcPr>
          <w:p>
            <w:r>
              <w:t>1.22</w:t>
            </w:r>
          </w:p>
        </w:tc>
        <w:tc>
          <w:tcPr>
            <w:tcW w:type="dxa" w:w="960"/>
          </w:tcPr>
          <w:p>
            <w:r>
              <w:t>股价突破布林线上轨，但成交量确认不足，可能是假突破，需要下一交易日确认。</w:t>
            </w:r>
          </w:p>
        </w:tc>
      </w:tr>
      <w:tr>
        <w:tc>
          <w:tcPr>
            <w:tcW w:type="dxa" w:w="960"/>
          </w:tcPr>
          <w:p>
            <w:r>
              <w:t>INOD</w:t>
            </w:r>
          </w:p>
        </w:tc>
        <w:tc>
          <w:tcPr>
            <w:tcW w:type="dxa" w:w="960"/>
          </w:tcPr>
          <w:p>
            <w:r>
              <w:t>Innodata</w:t>
            </w:r>
          </w:p>
        </w:tc>
        <w:tc>
          <w:tcPr>
            <w:tcW w:type="dxa" w:w="960"/>
          </w:tcPr>
          <w:p>
            <w:r>
              <w:t>C 观察信号</w:t>
            </w:r>
          </w:p>
        </w:tc>
        <w:tc>
          <w:tcPr>
            <w:tcW w:type="dxa" w:w="960"/>
          </w:tcPr>
          <w:p>
            <w:r>
              <w:t>强收口：Bandwidth创近100日新低；中轨附近窄幅震荡；低位形态</w:t>
            </w:r>
          </w:p>
        </w:tc>
        <w:tc>
          <w:tcPr>
            <w:tcW w:type="dxa" w:w="960"/>
          </w:tcPr>
          <w:p>
            <w:r>
              <w:t>中轨附近</w:t>
            </w:r>
          </w:p>
        </w:tc>
        <w:tc>
          <w:tcPr>
            <w:tcW w:type="dxa" w:w="960"/>
          </w:tcPr>
          <w:p>
            <w:r>
              <w:t>23.00%</w:t>
            </w:r>
          </w:p>
        </w:tc>
        <w:tc>
          <w:tcPr>
            <w:tcW w:type="dxa" w:w="960"/>
          </w:tcPr>
          <w:p>
            <w:r>
              <w:t>0.535</w:t>
            </w:r>
          </w:p>
        </w:tc>
        <w:tc>
          <w:tcPr>
            <w:tcW w:type="dxa" w:w="960"/>
          </w:tcPr>
          <w:p>
            <w:r>
              <w:t>0.48</w:t>
            </w:r>
          </w:p>
        </w:tc>
        <w:tc>
          <w:tcPr>
            <w:tcW w:type="dxa" w:w="960"/>
          </w:tcPr>
          <w:p>
            <w:r>
              <w:t>布林带收口，说明波动率下降，股价可能处于蓄势阶段，但方向尚未确认。</w:t>
            </w:r>
          </w:p>
        </w:tc>
      </w:tr>
      <w:tr>
        <w:tc>
          <w:tcPr>
            <w:tcW w:type="dxa" w:w="960"/>
          </w:tcPr>
          <w:p>
            <w:r>
              <w:t>SIVEF</w:t>
            </w:r>
          </w:p>
        </w:tc>
        <w:tc>
          <w:tcPr>
            <w:tcW w:type="dxa" w:w="960"/>
          </w:tcPr>
          <w:p>
            <w:r>
              <w:t>Sivers Semiconductors</w:t>
            </w:r>
          </w:p>
        </w:tc>
        <w:tc>
          <w:tcPr>
            <w:tcW w:type="dxa" w:w="960"/>
          </w:tcPr>
          <w:p>
            <w:r>
              <w:t>C 观察信号</w:t>
            </w:r>
          </w:p>
        </w:tc>
        <w:tc>
          <w:tcPr>
            <w:tcW w:type="dxa" w:w="960"/>
          </w:tcPr>
          <w:p>
            <w:r>
              <w:t>弱收口：Bandwidth连续14天维持低于近8个月30%分位；中轨附近窄幅震荡；低位形态</w:t>
            </w:r>
          </w:p>
        </w:tc>
        <w:tc>
          <w:tcPr>
            <w:tcW w:type="dxa" w:w="960"/>
          </w:tcPr>
          <w:p>
            <w:r>
              <w:t>中轨附近</w:t>
            </w:r>
          </w:p>
        </w:tc>
        <w:tc>
          <w:tcPr>
            <w:tcW w:type="dxa" w:w="960"/>
          </w:tcPr>
          <w:p>
            <w:r>
              <w:t>59.23%</w:t>
            </w:r>
          </w:p>
        </w:tc>
        <w:tc>
          <w:tcPr>
            <w:tcW w:type="dxa" w:w="960"/>
          </w:tcPr>
          <w:p>
            <w:r>
              <w:t>0.470</w:t>
            </w:r>
          </w:p>
        </w:tc>
        <w:tc>
          <w:tcPr>
            <w:tcW w:type="dxa" w:w="960"/>
          </w:tcPr>
          <w:p>
            <w:r>
              <w:t>0.10</w:t>
            </w:r>
          </w:p>
        </w:tc>
        <w:tc>
          <w:tcPr>
            <w:tcW w:type="dxa" w:w="960"/>
          </w:tcPr>
          <w:p>
            <w:r>
              <w:t>布林带收口，说明波动率下降，股价可能处于蓄势阶段，但方向尚未确认。</w:t>
            </w:r>
          </w:p>
        </w:tc>
      </w:tr>
    </w:tbl>
    <w:p>
      <w:pPr>
        <w:pStyle w:val="Heading2"/>
      </w:pPr>
      <w:r>
        <w:t>二、重点结论</w:t>
      </w:r>
    </w:p>
    <w:p>
      <w:pPr>
        <w:pStyle w:val="ListBullet"/>
      </w:pPr>
      <w:r>
        <w:t>强信号：COIN, CRCL。</w:t>
      </w:r>
    </w:p>
    <w:p>
      <w:pPr>
        <w:pStyle w:val="ListBullet"/>
      </w:pPr>
      <w:r>
        <w:t>中等信号：CRSP。</w:t>
      </w:r>
    </w:p>
    <w:p>
      <w:pPr>
        <w:pStyle w:val="ListBullet"/>
      </w:pPr>
      <w:r>
        <w:t>观察信号：MRVL, INOD, SIVEF。</w:t>
      </w:r>
    </w:p>
    <w:p>
      <w:pPr>
        <w:pStyle w:val="ListBullet"/>
      </w:pPr>
      <w:r>
        <w:t>今日优先复核：COIN, CRCL, CRSP, MRVL, INOD。优先看是否放量、能否站稳上轨或中轨。</w:t>
      </w:r>
    </w:p>
    <w:p>
      <w:pPr>
        <w:pStyle w:val="ListBullet"/>
      </w:pPr>
      <w:r>
        <w:t>风险提示：持续收窄只代表波动率降低，不代表方向已经确认；开口和突破也可能是假突破，需要观察成交量和中轨支撑。</w:t>
      </w:r>
    </w:p>
    <w:p>
      <w:pPr>
        <w:pStyle w:val="Heading2"/>
      </w:pPr>
      <w:r>
        <w:t>三、个股分析：技术面解读</w:t>
      </w:r>
    </w:p>
    <w:p>
      <w:pPr>
        <w:pStyle w:val="Heading3"/>
      </w:pPr>
      <w:r>
        <w:t>COIN - Coinbase Global, Inc.</w:t>
      </w:r>
    </w:p>
    <w:p>
      <w:pPr>
        <w:pStyle w:val="ListBullet"/>
      </w:pPr>
      <w:r>
        <w:t>信号等级：A 强信号</w:t>
      </w:r>
    </w:p>
    <w:p>
      <w:pPr>
        <w:pStyle w:val="ListBullet"/>
      </w:pPr>
      <w:r>
        <w:t>最新收盘价：$172.35</w:t>
      </w:r>
    </w:p>
    <w:p>
      <w:pPr>
        <w:pStyle w:val="ListBullet"/>
      </w:pPr>
      <w:r>
        <w:t>BOLL：上轨 $170.50；中轨 $154.39；下轨 $138.28</w:t>
      </w:r>
    </w:p>
    <w:p>
      <w:pPr>
        <w:pStyle w:val="ListBullet"/>
      </w:pPr>
      <w:r>
        <w:t>Bandwidth：20.87%；历史分位：36.90%；%B：1.058</w:t>
      </w:r>
    </w:p>
    <w:p>
      <w:pPr>
        <w:pStyle w:val="ListBullet"/>
      </w:pPr>
      <w:r>
        <w:t>成交量：当日 17521120；20日均量 8547806；量比 2.05</w:t>
      </w:r>
    </w:p>
    <w:p>
      <w:pPr>
        <w:pStyle w:val="ListBullet"/>
      </w:pPr>
      <w:r>
        <w:t>触发信号：布林带向上开口（最近1天）；成交量放大；放量突破上轨-强；中轨反弹并接近上轨；成交量放大；低位形态</w:t>
      </w:r>
    </w:p>
    <w:p>
      <w:pPr>
        <w:pStyle w:val="ListBullet"/>
      </w:pPr>
      <w:r>
        <w:t>技术面解读：股价放量突破布林线上轨，说明短线多头动能较强，可能进入强势上涨阶段，但也要注意短线过热和回踩风险。</w:t>
      </w:r>
    </w:p>
    <w:p>
      <w:pPr>
        <w:pStyle w:val="ListBullet"/>
      </w:pPr>
      <w:r>
        <w:t>是否需要下一交易日确认：是。重点观察收盘价是否继续位于关键轨道一侧，以及成交量是否延续。</w:t>
      </w:r>
    </w:p>
    <w:p>
      <w:pPr>
        <w:pStyle w:val="ListBullet"/>
      </w:pPr>
      <w:r>
        <w:t>风险提示：尚未连续两日站上上轨，需要下一交易日确认。</w:t>
      </w:r>
    </w:p>
    <w:p>
      <w:pPr>
        <w:pStyle w:val="Heading3"/>
      </w:pPr>
      <w:r>
        <w:t>CRCL - Circle Internet Group</w:t>
      </w:r>
    </w:p>
    <w:p>
      <w:pPr>
        <w:pStyle w:val="ListBullet"/>
      </w:pPr>
      <w:r>
        <w:t>信号等级：A 强信号</w:t>
      </w:r>
    </w:p>
    <w:p>
      <w:pPr>
        <w:pStyle w:val="ListBullet"/>
      </w:pPr>
      <w:r>
        <w:t>最新收盘价：$83.66</w:t>
      </w:r>
    </w:p>
    <w:p>
      <w:pPr>
        <w:pStyle w:val="ListBullet"/>
      </w:pPr>
      <w:r>
        <w:t>BOLL：上轨 $80.52；中轨 $68.12；下轨 $55.72</w:t>
      </w:r>
    </w:p>
    <w:p>
      <w:pPr>
        <w:pStyle w:val="ListBullet"/>
      </w:pPr>
      <w:r>
        <w:t>Bandwidth：36.41%；历史分位：45.24%；%B：1.126</w:t>
      </w:r>
    </w:p>
    <w:p>
      <w:pPr>
        <w:pStyle w:val="ListBullet"/>
      </w:pPr>
      <w:r>
        <w:t>成交量：当日 22075082；20日均量 12116974；量比 1.82</w:t>
      </w:r>
    </w:p>
    <w:p>
      <w:pPr>
        <w:pStyle w:val="ListBullet"/>
      </w:pPr>
      <w:r>
        <w:t>触发信号：布林带向上开口（最近5天）；成交量放大；放量突破上轨-强；连续2日站上上轨；低位形态</w:t>
      </w:r>
    </w:p>
    <w:p>
      <w:pPr>
        <w:pStyle w:val="ListBullet"/>
      </w:pPr>
      <w:r>
        <w:t>技术面解读：股价放量突破布林线上轨，说明短线多头动能较强，可能进入强势上涨阶段，但也要注意短线过热和回踩风险。</w:t>
      </w:r>
    </w:p>
    <w:p>
      <w:pPr>
        <w:pStyle w:val="ListBullet"/>
      </w:pPr>
      <w:r>
        <w:t>是否需要下一交易日确认：是。重点观察收盘价是否继续位于关键轨道一侧，以及成交量是否延续。</w:t>
      </w:r>
    </w:p>
    <w:p>
      <w:pPr>
        <w:pStyle w:val="ListBullet"/>
      </w:pPr>
      <w:r>
        <w:t>风险提示：重点观察成交量变化以及中轨支撑/压力是否有效。</w:t>
      </w:r>
    </w:p>
    <w:p>
      <w:pPr>
        <w:pStyle w:val="Heading3"/>
      </w:pPr>
      <w:r>
        <w:t>CRSP - CRISPR Therapeutics AG</w:t>
      </w:r>
    </w:p>
    <w:p>
      <w:pPr>
        <w:pStyle w:val="ListBullet"/>
      </w:pPr>
      <w:r>
        <w:t>信号等级：B 中等信号</w:t>
      </w:r>
    </w:p>
    <w:p>
      <w:pPr>
        <w:pStyle w:val="ListBullet"/>
      </w:pPr>
      <w:r>
        <w:t>最新收盘价：$58.12</w:t>
      </w:r>
    </w:p>
    <w:p>
      <w:pPr>
        <w:pStyle w:val="ListBullet"/>
      </w:pPr>
      <w:r>
        <w:t>BOLL：上轨 $59.13；中轨 $51.97；下轨 $44.81</w:t>
      </w:r>
    </w:p>
    <w:p>
      <w:pPr>
        <w:pStyle w:val="ListBullet"/>
      </w:pPr>
      <w:r>
        <w:t>Bandwidth：27.55%；历史分位：75.00%；%B：0.929</w:t>
      </w:r>
    </w:p>
    <w:p>
      <w:pPr>
        <w:pStyle w:val="ListBullet"/>
      </w:pPr>
      <w:r>
        <w:t>成交量：当日 2909592；20日均量 1515985；量比 1.92</w:t>
      </w:r>
    </w:p>
    <w:p>
      <w:pPr>
        <w:pStyle w:val="ListBullet"/>
      </w:pPr>
      <w:r>
        <w:t>触发信号：布林带向上开口（最近2天）；成交量放大</w:t>
      </w:r>
    </w:p>
    <w:p>
      <w:pPr>
        <w:pStyle w:val="ListBullet"/>
      </w:pPr>
      <w:r>
        <w:t>技术面解读：布林带向上开口，说明波动率开始放大，股价接近上轨，可能进入趋势启动观察阶段，需要继续结合突破方向和成交量判断。</w:t>
      </w:r>
    </w:p>
    <w:p>
      <w:pPr>
        <w:pStyle w:val="ListBullet"/>
      </w:pPr>
      <w:r>
        <w:t>是否需要下一交易日确认：是。重点观察收盘价是否继续位于关键轨道一侧，以及成交量是否延续。</w:t>
      </w:r>
    </w:p>
    <w:p>
      <w:pPr>
        <w:pStyle w:val="ListBullet"/>
      </w:pPr>
      <w:r>
        <w:t>风险提示：重点观察成交量变化以及中轨支撑/压力是否有效。</w:t>
      </w:r>
    </w:p>
    <w:p>
      <w:pPr>
        <w:pStyle w:val="Heading3"/>
      </w:pPr>
      <w:r>
        <w:t>MRVL - Marvell Technology</w:t>
      </w:r>
    </w:p>
    <w:p>
      <w:pPr>
        <w:pStyle w:val="ListBullet"/>
      </w:pPr>
      <w:r>
        <w:t>信号等级：C 观察信号</w:t>
      </w:r>
    </w:p>
    <w:p>
      <w:pPr>
        <w:pStyle w:val="ListBullet"/>
      </w:pPr>
      <w:r>
        <w:t>最新收盘价：$251.01</w:t>
      </w:r>
    </w:p>
    <w:p>
      <w:pPr>
        <w:pStyle w:val="ListBullet"/>
      </w:pPr>
      <w:r>
        <w:t>BOLL：上轨 $250.92；中轨 $208.28；下轨 $165.64</w:t>
      </w:r>
    </w:p>
    <w:p>
      <w:pPr>
        <w:pStyle w:val="ListBullet"/>
      </w:pPr>
      <w:r>
        <w:t>Bandwidth：40.95%；历史分位：70.24%；%B：1.001</w:t>
      </w:r>
    </w:p>
    <w:p>
      <w:pPr>
        <w:pStyle w:val="ListBullet"/>
      </w:pPr>
      <w:r>
        <w:t>成交量：当日 29137608；20日均量 23836985；量比 1.22</w:t>
      </w:r>
    </w:p>
    <w:p>
      <w:pPr>
        <w:pStyle w:val="ListBullet"/>
      </w:pPr>
      <w:r>
        <w:t>触发信号：突破上轨但量能不足-弱</w:t>
      </w:r>
    </w:p>
    <w:p>
      <w:pPr>
        <w:pStyle w:val="ListBullet"/>
      </w:pPr>
      <w:r>
        <w:t>技术面解读：股价突破布林线上轨，但成交量确认不足，可能是假突破，需要下一交易日确认。</w:t>
      </w:r>
    </w:p>
    <w:p>
      <w:pPr>
        <w:pStyle w:val="ListBullet"/>
      </w:pPr>
      <w:r>
        <w:t>是否需要下一交易日确认：是。重点观察收盘价是否继续位于关键轨道一侧，以及成交量是否延续。</w:t>
      </w:r>
    </w:p>
    <w:p>
      <w:pPr>
        <w:pStyle w:val="ListBullet"/>
      </w:pPr>
      <w:r>
        <w:t>风险提示：突破上轨但成交量不足，存在假突破风险。；尚未连续两日站上上轨，需要下一交易日确认。</w:t>
      </w:r>
    </w:p>
    <w:p>
      <w:pPr>
        <w:pStyle w:val="Heading3"/>
      </w:pPr>
      <w:r>
        <w:t>INOD - Innodata</w:t>
      </w:r>
    </w:p>
    <w:p>
      <w:pPr>
        <w:pStyle w:val="ListBullet"/>
      </w:pPr>
      <w:r>
        <w:t>信号等级：C 观察信号</w:t>
      </w:r>
    </w:p>
    <w:p>
      <w:pPr>
        <w:pStyle w:val="ListBullet"/>
      </w:pPr>
      <w:r>
        <w:t>最新收盘价：$62.79</w:t>
      </w:r>
    </w:p>
    <w:p>
      <w:pPr>
        <w:pStyle w:val="ListBullet"/>
      </w:pPr>
      <w:r>
        <w:t>BOLL：上轨 $69.45；中轨 $62.28；下轨 $55.12</w:t>
      </w:r>
    </w:p>
    <w:p>
      <w:pPr>
        <w:pStyle w:val="ListBullet"/>
      </w:pPr>
      <w:r>
        <w:t>Bandwidth：23.00%；历史分位：14.29%；%B：0.535</w:t>
      </w:r>
    </w:p>
    <w:p>
      <w:pPr>
        <w:pStyle w:val="ListBullet"/>
      </w:pPr>
      <w:r>
        <w:t>成交量：当日 759249；20日均量 1578407；量比 0.48</w:t>
      </w:r>
    </w:p>
    <w:p>
      <w:pPr>
        <w:pStyle w:val="ListBullet"/>
      </w:pPr>
      <w:r>
        <w:t>触发信号：强收口：Bandwidth创近100日新低；中轨附近窄幅震荡；低位形态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SIVEF - Sivers Semiconductors</w:t>
      </w:r>
    </w:p>
    <w:p>
      <w:pPr>
        <w:pStyle w:val="ListBullet"/>
      </w:pPr>
      <w:r>
        <w:t>信号等级：C 观察信号</w:t>
      </w:r>
    </w:p>
    <w:p>
      <w:pPr>
        <w:pStyle w:val="ListBullet"/>
      </w:pPr>
      <w:r>
        <w:t>最新收盘价：$3.69</w:t>
      </w:r>
    </w:p>
    <w:p>
      <w:pPr>
        <w:pStyle w:val="ListBullet"/>
      </w:pPr>
      <w:r>
        <w:t>BOLL：上轨 $4.87；中轨 $3.76；下轨 $2.64</w:t>
      </w:r>
    </w:p>
    <w:p>
      <w:pPr>
        <w:pStyle w:val="ListBullet"/>
      </w:pPr>
      <w:r>
        <w:t>Bandwidth：59.23%；历史分位：15.29%；%B：0.470</w:t>
      </w:r>
    </w:p>
    <w:p>
      <w:pPr>
        <w:pStyle w:val="ListBullet"/>
      </w:pPr>
      <w:r>
        <w:t>成交量：当日 225676；20日均量 2347976；量比 0.10</w:t>
      </w:r>
    </w:p>
    <w:p>
      <w:pPr>
        <w:pStyle w:val="ListBullet"/>
      </w:pPr>
      <w:r>
        <w:t>触发信号：弱收口：Bandwidth连续14天维持低于近8个月30%分位；中轨附近窄幅震荡；低位形态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2"/>
      </w:pPr>
      <w:r>
        <w:t>四、数据异常或无法判断</w:t>
      </w:r>
    </w:p>
    <w:tbl>
      <w:tblPr>
        <w:tblStyle w:val="TableGrid"/>
        <w:tblW w:type="auto" w:w="0"/>
        <w:tblLook w:firstColumn="1" w:firstRow="1" w:lastColumn="0" w:lastRow="0" w:noHBand="0" w:noVBand="1" w:val="04A0"/>
      </w:tblPr>
      <w:tblGrid>
        <w:gridCol w:w="2880"/>
        <w:gridCol w:w="2880"/>
        <w:gridCol w:w="2880"/>
      </w:tblGrid>
      <w:tr>
        <w:tc>
          <w:tcPr>
            <w:tcW w:type="dxa" w:w="2880"/>
          </w:tcPr>
          <w:p>
            <w:r>
              <w:t>股票代码</w:t>
            </w:r>
          </w:p>
        </w:tc>
        <w:tc>
          <w:tcPr>
            <w:tcW w:type="dxa" w:w="2880"/>
          </w:tcPr>
          <w:p>
            <w:r>
              <w:t>公司名称</w:t>
            </w:r>
          </w:p>
        </w:tc>
        <w:tc>
          <w:tcPr>
            <w:tcW w:type="dxa" w:w="2880"/>
          </w:tcPr>
          <w:p>
            <w:r>
              <w:t>原因</w:t>
            </w:r>
          </w:p>
        </w:tc>
      </w:tr>
      <w:tr>
        <w:tc>
          <w:tcPr>
            <w:tcW w:type="dxa" w:w="2880"/>
          </w:tcPr>
          <w:p>
            <w:r>
              <w:t>SPCX</w:t>
            </w:r>
          </w:p>
        </w:tc>
        <w:tc>
          <w:tcPr>
            <w:tcW w:type="dxa" w:w="2880"/>
          </w:tcPr>
          <w:p>
            <w:r>
              <w:t>Space Exploration Technologies</w:t>
            </w:r>
          </w:p>
        </w:tc>
        <w:tc>
          <w:tcPr>
            <w:tcW w:type="dxa" w:w="2880"/>
          </w:tcPr>
          <w:p>
            <w:r>
              <w:t>数据长度不足，无法稳定计算 BOLL</w:t>
            </w:r>
          </w:p>
        </w:tc>
      </w:tr>
    </w:tbl>
    <w:p>
      <w:pPr>
        <w:pStyle w:val="Heading2"/>
      </w:pPr>
      <w:r>
        <w:t>五、无明显 BOLL 信号</w:t>
      </w:r>
    </w:p>
    <w:p>
      <w:r>
        <w:t>NOK（Nokia Oyj）, XE（X-energy）, RKLB（Rocket Lab USA）, NBIS（Nebius Group）, ARM（Arm Holdings）, OPTX（Syntec Optics Holdings）, GLW（Corning）, COHR（Coherent）, LITE（Lumentum Holdings）, INTC（Intel）, ALAB（Astera Labs）, FLNC（Fluence Energy）, CRWV（CoreWeave）, ORCL（Oracle）, NVTS（Navitas Semiconductor）, POET（POET Technologies）, DELL（Dell Technologies）, BB（BlackBerry）, ONDS（Ondas Holdings）, SMR（NuScale Power）, OKLO（Oklo）, IONQ（IonQ）, QBTS（D-Wave Quantum）, NVDA（NVIDIA）, AMZN（Amazon.com）, AMD（Advanced Micro Devices）, FLY（Firefly Aerospace）, CBRS（Chain Bridge Bancorp）, CIEN（Ciena）, SHAZ（Shaz）, LUNR（Intuitive Machines）, ASTS（AST SpaceMobile）, AAOI（Applied Optoelectronics）, RDW（Redwire Corporation）, QCOM（QUALCOMM Incorporated）, CORZ（Core Scientific, Inc.）, IREN（IREN LIMITED）, VELO（Velo3D, Inc.）, MSFT（Microsoft Corporation）, GOOG（Alphabet Inc.）, AVGO（Broadcom Inc.）, AMAT（Applied Materials, Inc.）, AMKR（Amkor Technology, Inc.）, LRCX（Lam Research Corporation）, SNDK（Sandisk Corporation）, MU（Micron Technology, Inc.）, VICR（Vicor Corporation）, NNE（Nano Nuclear Energy Inc.）, CCJ（Cameco Corporation）, VST（Vistra Corp.）, NEE（NextEra Energy, Inc.）, BWAY（Brainsway Ltd.）, MANE（Veradermics, Incorporated）, QSI（Quantum-Si Incorporated）, ERAS（Erasca, Inc.）, IBRX（ImmunityBio, Inc.）, INSP（Inspire Medical Systems, Inc.）</w:t>
      </w:r>
    </w:p>
    <w:p>
      <w:r>
        <w:br w:type="page"/>
      </w:r>
    </w:p>
    <w:p>
      <w:pPr>
        <w:pStyle w:val="Heading2"/>
      </w:pPr>
      <w:r>
        <w:t>六、触发股票 BOLL 图表</w:t>
      </w:r>
    </w:p>
    <w:p>
      <w:pPr>
        <w:pStyle w:val="Heading3"/>
      </w:pPr>
      <w:r>
        <w:t>COIN - Coinbase Global, Inc.</w:t>
      </w:r>
    </w:p>
    <w:p>
      <w:r>
        <w:drawing>
          <wp:inline xmlns:a="http://schemas.openxmlformats.org/drawingml/2006/main" xmlns:pic="http://schemas.openxmlformats.org/drawingml/2006/picture">
            <wp:extent cx="6035040" cy="4054793"/>
            <wp:docPr id="1" name="Picture 1"/>
            <wp:cNvGraphicFramePr>
              <a:graphicFrameLocks noChangeAspect="1"/>
            </wp:cNvGraphicFramePr>
            <a:graphic>
              <a:graphicData uri="http://schemas.openxmlformats.org/drawingml/2006/picture">
                <pic:pic>
                  <pic:nvPicPr>
                    <pic:cNvPr id="0" name="COIN_BOLL.png"/>
                    <pic:cNvPicPr/>
                  </pic:nvPicPr>
                  <pic:blipFill>
                    <a:blip r:embed="rId9"/>
                    <a:stretch>
                      <a:fillRect/>
                    </a:stretch>
                  </pic:blipFill>
                  <pic:spPr>
                    <a:xfrm>
                      <a:off x="0" y="0"/>
                      <a:ext cx="6035040" cy="4054793"/>
                    </a:xfrm>
                    <a:prstGeom prst="rect"/>
                  </pic:spPr>
                </pic:pic>
              </a:graphicData>
            </a:graphic>
          </wp:inline>
        </w:drawing>
      </w:r>
    </w:p>
    <w:p>
      <w:pPr>
        <w:pStyle w:val="Heading3"/>
      </w:pPr>
      <w:r>
        <w:t>CRCL - Circle Internet Group</w:t>
      </w:r>
    </w:p>
    <w:p>
      <w:r>
        <w:drawing>
          <wp:inline xmlns:a="http://schemas.openxmlformats.org/drawingml/2006/main" xmlns:pic="http://schemas.openxmlformats.org/drawingml/2006/picture">
            <wp:extent cx="6035040" cy="4054793"/>
            <wp:docPr id="2" name="Picture 2"/>
            <wp:cNvGraphicFramePr>
              <a:graphicFrameLocks noChangeAspect="1"/>
            </wp:cNvGraphicFramePr>
            <a:graphic>
              <a:graphicData uri="http://schemas.openxmlformats.org/drawingml/2006/picture">
                <pic:pic>
                  <pic:nvPicPr>
                    <pic:cNvPr id="0" name="CRCL_BOLL.png"/>
                    <pic:cNvPicPr/>
                  </pic:nvPicPr>
                  <pic:blipFill>
                    <a:blip r:embed="rId10"/>
                    <a:stretch>
                      <a:fillRect/>
                    </a:stretch>
                  </pic:blipFill>
                  <pic:spPr>
                    <a:xfrm>
                      <a:off x="0" y="0"/>
                      <a:ext cx="6035040" cy="4054793"/>
                    </a:xfrm>
                    <a:prstGeom prst="rect"/>
                  </pic:spPr>
                </pic:pic>
              </a:graphicData>
            </a:graphic>
          </wp:inline>
        </w:drawing>
      </w:r>
    </w:p>
    <w:p>
      <w:pPr>
        <w:pStyle w:val="Heading3"/>
      </w:pPr>
      <w:r>
        <w:t>CRSP - CRISPR Therapeutics AG</w:t>
      </w:r>
    </w:p>
    <w:p>
      <w:r>
        <w:drawing>
          <wp:inline xmlns:a="http://schemas.openxmlformats.org/drawingml/2006/main" xmlns:pic="http://schemas.openxmlformats.org/drawingml/2006/picture">
            <wp:extent cx="6035040" cy="4054793"/>
            <wp:docPr id="3" name="Picture 3"/>
            <wp:cNvGraphicFramePr>
              <a:graphicFrameLocks noChangeAspect="1"/>
            </wp:cNvGraphicFramePr>
            <a:graphic>
              <a:graphicData uri="http://schemas.openxmlformats.org/drawingml/2006/picture">
                <pic:pic>
                  <pic:nvPicPr>
                    <pic:cNvPr id="0" name="CRSP_BOLL.png"/>
                    <pic:cNvPicPr/>
                  </pic:nvPicPr>
                  <pic:blipFill>
                    <a:blip r:embed="rId11"/>
                    <a:stretch>
                      <a:fillRect/>
                    </a:stretch>
                  </pic:blipFill>
                  <pic:spPr>
                    <a:xfrm>
                      <a:off x="0" y="0"/>
                      <a:ext cx="6035040" cy="4054793"/>
                    </a:xfrm>
                    <a:prstGeom prst="rect"/>
                  </pic:spPr>
                </pic:pic>
              </a:graphicData>
            </a:graphic>
          </wp:inline>
        </w:drawing>
      </w:r>
    </w:p>
    <w:p>
      <w:pPr>
        <w:pStyle w:val="Heading3"/>
      </w:pPr>
      <w:r>
        <w:t>MRVL - Marvell Technology</w:t>
      </w:r>
    </w:p>
    <w:p>
      <w:r>
        <w:drawing>
          <wp:inline xmlns:a="http://schemas.openxmlformats.org/drawingml/2006/main" xmlns:pic="http://schemas.openxmlformats.org/drawingml/2006/picture">
            <wp:extent cx="6035040" cy="4054793"/>
            <wp:docPr id="4" name="Picture 4"/>
            <wp:cNvGraphicFramePr>
              <a:graphicFrameLocks noChangeAspect="1"/>
            </wp:cNvGraphicFramePr>
            <a:graphic>
              <a:graphicData uri="http://schemas.openxmlformats.org/drawingml/2006/picture">
                <pic:pic>
                  <pic:nvPicPr>
                    <pic:cNvPr id="0" name="MRVL_BOLL.png"/>
                    <pic:cNvPicPr/>
                  </pic:nvPicPr>
                  <pic:blipFill>
                    <a:blip r:embed="rId12"/>
                    <a:stretch>
                      <a:fillRect/>
                    </a:stretch>
                  </pic:blipFill>
                  <pic:spPr>
                    <a:xfrm>
                      <a:off x="0" y="0"/>
                      <a:ext cx="6035040" cy="4054793"/>
                    </a:xfrm>
                    <a:prstGeom prst="rect"/>
                  </pic:spPr>
                </pic:pic>
              </a:graphicData>
            </a:graphic>
          </wp:inline>
        </w:drawing>
      </w:r>
    </w:p>
    <w:p>
      <w:pPr>
        <w:pStyle w:val="Heading3"/>
      </w:pPr>
      <w:r>
        <w:t>INOD - Innodata</w:t>
      </w:r>
    </w:p>
    <w:p>
      <w:r>
        <w:drawing>
          <wp:inline xmlns:a="http://schemas.openxmlformats.org/drawingml/2006/main" xmlns:pic="http://schemas.openxmlformats.org/drawingml/2006/picture">
            <wp:extent cx="6035040" cy="4054793"/>
            <wp:docPr id="5" name="Picture 5"/>
            <wp:cNvGraphicFramePr>
              <a:graphicFrameLocks noChangeAspect="1"/>
            </wp:cNvGraphicFramePr>
            <a:graphic>
              <a:graphicData uri="http://schemas.openxmlformats.org/drawingml/2006/picture">
                <pic:pic>
                  <pic:nvPicPr>
                    <pic:cNvPr id="0" name="INOD_BOLL.png"/>
                    <pic:cNvPicPr/>
                  </pic:nvPicPr>
                  <pic:blipFill>
                    <a:blip r:embed="rId13"/>
                    <a:stretch>
                      <a:fillRect/>
                    </a:stretch>
                  </pic:blipFill>
                  <pic:spPr>
                    <a:xfrm>
                      <a:off x="0" y="0"/>
                      <a:ext cx="6035040" cy="4054793"/>
                    </a:xfrm>
                    <a:prstGeom prst="rect"/>
                  </pic:spPr>
                </pic:pic>
              </a:graphicData>
            </a:graphic>
          </wp:inline>
        </w:drawing>
      </w:r>
    </w:p>
    <w:p>
      <w:pPr>
        <w:pStyle w:val="Heading3"/>
      </w:pPr>
      <w:r>
        <w:t>SIVEF - Sivers Semiconductors</w:t>
      </w:r>
    </w:p>
    <w:p>
      <w:r>
        <w:drawing>
          <wp:inline xmlns:a="http://schemas.openxmlformats.org/drawingml/2006/main" xmlns:pic="http://schemas.openxmlformats.org/drawingml/2006/picture">
            <wp:extent cx="6035040" cy="4054793"/>
            <wp:docPr id="6" name="Picture 6"/>
            <wp:cNvGraphicFramePr>
              <a:graphicFrameLocks noChangeAspect="1"/>
            </wp:cNvGraphicFramePr>
            <a:graphic>
              <a:graphicData uri="http://schemas.openxmlformats.org/drawingml/2006/picture">
                <pic:pic>
                  <pic:nvPicPr>
                    <pic:cNvPr id="0" name="SIVEF_BOLL.png"/>
                    <pic:cNvPicPr/>
                  </pic:nvPicPr>
                  <pic:blipFill>
                    <a:blip r:embed="rId14"/>
                    <a:stretch>
                      <a:fillRect/>
                    </a:stretch>
                  </pic:blipFill>
                  <pic:spPr>
                    <a:xfrm>
                      <a:off x="0" y="0"/>
                      <a:ext cx="6035040" cy="4054793"/>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