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报告日期：2026-08-20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8.38</w:t>
            </w:r>
          </w:p>
        </w:tc>
        <w:tc>
          <w:tcPr>
            <w:tcW w:type="dxa" w:w="1440"/>
          </w:tcPr>
          <w:p>
            <w:r>
              <w:t>MACD死叉；MACD动能衰减；RSI多头结构破坏；RSI12跌破50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8.79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65.06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89.76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23.63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129.10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17.93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83.66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ONDS</w:t>
      </w:r>
    </w:p>
    <w:p>
      <w:r>
        <w:t>当前价格：8.38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8；风险等级：明显下跌风险</w:t>
      </w:r>
    </w:p>
    <w:p>
      <w:r>
        <w:t>技术指标：</w:t>
      </w:r>
    </w:p>
    <w:p>
      <w:pPr>
        <w:pStyle w:val="ListBullet"/>
      </w:pPr>
      <w:r>
        <w:t>MACD状态：MACD死叉；MACD柱连续3天缩短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RSI：RSI6=35.2；RSI12=46.7；RSI24=48.6；RSI空头排列；RSI12跌破50</w:t>
      </w:r>
    </w:p>
    <w:p>
      <w:pPr>
        <w:pStyle w:val="ListBullet"/>
      </w:pPr>
      <w:r>
        <w:t>MA20/50/200：MA20=8.59；MA50=8.24；MA200=9.42；跌破MA20；跌破MA200</w:t>
      </w:r>
    </w:p>
    <w:p>
      <w:pPr>
        <w:pStyle w:val="ListBullet"/>
      </w:pPr>
      <w:r>
        <w:t>成交量变化：Volume/MA20=0.88倍；成交量为20日均量的0.88倍</w:t>
      </w:r>
    </w:p>
    <w:p>
      <w:r>
        <w:t>主要风险来源：</w:t>
      </w:r>
    </w:p>
    <w:p>
      <w:pPr>
        <w:pStyle w:val="ListBullet"/>
      </w:pPr>
      <w:r>
        <w:t>MACD死叉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判断：趋势转弱。MACD死叉；MACD柱连续3天缩短；KDJ暂无明显风险；RSI空头排列；RSI12跌破50。</w:t>
      </w:r>
    </w:p>
    <w:p>
      <w:r>
        <w:t>建议观察位置：当前价格 8.38；MA20 8.59；MA50 8.24；MA200 9.42。若后续有效跌破MA50，趋势进一步恶化的概率上升。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当前价格：8.79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RSI：RSI6=61.7；RSI12=55.5；RSI24=50.7；未进入过热见顶评分</w:t>
      </w:r>
    </w:p>
    <w:p>
      <w:pPr>
        <w:pStyle w:val="ListBullet"/>
      </w:pPr>
      <w:r>
        <w:t>MA20/50/200：MA20=7.72；MA50=9.27；MA200=6.81；收盘价站上MA20；收盘价站上MA200；MA50高于MA200；MA20斜率向上；近20日收益为正</w:t>
      </w:r>
    </w:p>
    <w:p>
      <w:pPr>
        <w:pStyle w:val="ListBullet"/>
      </w:pPr>
      <w:r>
        <w:t>成交量变化：Volume/MA20=0.55倍；成交量为20日均量的0.55倍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8.79；MA20 7.72；MA50 9.27；MA200 6.81。若后续有效跌破MA50，趋势进一步恶化的概率上升。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当前价格：65.06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RSI：RSI6=36.2；RSI12=45.2；RSI24=46.1；未进入过热见顶评分</w:t>
      </w:r>
    </w:p>
    <w:p>
      <w:pPr>
        <w:pStyle w:val="ListBullet"/>
      </w:pPr>
      <w:r>
        <w:t>MA20/50/200：MA20=65.49；MA50=70.91；MA200=81.67；MA20斜率向上；近20日收益为正</w:t>
      </w:r>
    </w:p>
    <w:p>
      <w:pPr>
        <w:pStyle w:val="ListBullet"/>
      </w:pPr>
      <w:r>
        <w:t>成交量变化：Volume/MA20=0.71倍；成交量为20日均量的0.71倍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65.06；MA20 65.49；MA50 70.91；MA200 81.67。若后续有效跌破MA50，趋势进一步恶化的概率上升。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当前价格：89.76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RSI：RSI6=40.9；RSI12=49.2；RSI24=49.4；未进入过热见顶评分</w:t>
      </w:r>
    </w:p>
    <w:p>
      <w:pPr>
        <w:pStyle w:val="ListBullet"/>
      </w:pPr>
      <w:r>
        <w:t>MA20/50/200：MA20=86.88；MA50=90.07；MA200=92.15；收盘价站上MA20；MA20斜率向上；近20日收益为正</w:t>
      </w:r>
    </w:p>
    <w:p>
      <w:pPr>
        <w:pStyle w:val="ListBullet"/>
      </w:pPr>
      <w:r>
        <w:t>成交量变化：Volume/MA20=0.53倍；成交量为20日均量的0.53倍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89.76；MA20 86.88；MA50 90.07；MA200 92.15。若后续有效跌破MA50，趋势进一步恶化的概率上升。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数据提示：历史数据不足300个交易日，当前仅261个交易日；部分长期均线可能为空。</w:t>
      </w:r>
    </w:p>
    <w:p>
      <w:r>
        <w:t>当前价格：23.63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RSI：RSI6=33.7；RSI12=45.4；RSI24=45.7；未进入过热见顶评分</w:t>
      </w:r>
    </w:p>
    <w:p>
      <w:pPr>
        <w:pStyle w:val="ListBullet"/>
      </w:pPr>
      <w:r>
        <w:t>MA20/50/200：MA20=23.53；MA50=25.25；MA200=27.47；收盘价站上MA20；MA20斜率向上；近20日收益为正</w:t>
      </w:r>
    </w:p>
    <w:p>
      <w:pPr>
        <w:pStyle w:val="ListBullet"/>
      </w:pPr>
      <w:r>
        <w:t>成交量变化：Volume/MA20=1.02倍；成交量为20日均量的1.02倍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23.63；MA20 23.53；MA50 25.25；MA200 27.47。若后续有效跌破MA50，趋势进一步恶化的概率上升。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当前价格：129.10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RSI：RSI6=48.1；RSI12=51.0；RSI24=49.9；未进入过热见顶评分</w:t>
      </w:r>
    </w:p>
    <w:p>
      <w:pPr>
        <w:pStyle w:val="ListBullet"/>
      </w:pPr>
      <w:r>
        <w:t>MA20/50/200：MA20=120.02；MA50=129.91；MA200=96.96；收盘价站上MA20；收盘价站上MA200；MA50高于MA200；MA20斜率向上；近20日收益为正</w:t>
      </w:r>
    </w:p>
    <w:p>
      <w:pPr>
        <w:pStyle w:val="ListBullet"/>
      </w:pPr>
      <w:r>
        <w:t>成交量变化：Volume/MA20=0.72倍；成交量为20日均量的0.72倍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129.10；MA20 120.02；MA50 129.91；MA200 96.96。若后续有效跌破MA50，趋势进一步恶化的概率上升。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当前价格：17.93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RSI：RSI6=54.7；RSI12=56.0；RSI24=49.3；未进入过热见顶评分</w:t>
      </w:r>
    </w:p>
    <w:p>
      <w:pPr>
        <w:pStyle w:val="ListBullet"/>
      </w:pPr>
      <w:r>
        <w:t>MA20/50/200：MA20=15.44；MA50=17.70；MA200=19.45；收盘价站上MA20；收盘价站上MA50；MA20斜率向上；近20日收益为正</w:t>
      </w:r>
    </w:p>
    <w:p>
      <w:pPr>
        <w:pStyle w:val="ListBullet"/>
      </w:pPr>
      <w:r>
        <w:t>成交量变化：Volume/MA20=0.68倍；成交量为20日均量的0.68倍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17.93；MA20 15.44；MA50 17.70；MA200 19.45。若后续有效跌破MA50，趋势进一步恶化的概率上升。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当前价格：83.66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RSI：RSI6=78.3；RSI12=68.9；RSI24=57.2；未进入过热见顶评分</w:t>
      </w:r>
    </w:p>
    <w:p>
      <w:pPr>
        <w:pStyle w:val="ListBullet"/>
      </w:pPr>
      <w:r>
        <w:t>MA20/50/200：MA20=68.12；MA50=69.30；MA200=85.39；收盘价站上MA20；收盘价站上MA50；MA20斜率向上；近20日收益为正</w:t>
      </w:r>
    </w:p>
    <w:p>
      <w:pPr>
        <w:pStyle w:val="ListBullet"/>
      </w:pPr>
      <w:r>
        <w:t>成交量变化：Volume/MA20=1.82倍；成交量为20日均量的1.82倍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83.66；MA20 68.12；MA50 69.30；MA200 85.39。若后续有效跌破MA50，趋势进一步恶化的概率上升。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