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- 2026-10-08</w:t>
      </w:r>
    </w:p>
    <w:p>
      <w:pPr>
        <w:pStyle w:val="ListBullet"/>
      </w:pPr>
      <w:r>
        <w:t>生成时间（美东）：2026-10-08 22:58:35 EDT</w:t>
      </w:r>
    </w:p>
    <w:p>
      <w:pPr>
        <w:pStyle w:val="ListBullet"/>
      </w:pPr>
      <w:r>
        <w:t>最新可用交易日：2026-10-08</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IONQ</w:t>
            </w:r>
          </w:p>
        </w:tc>
        <w:tc>
          <w:tcPr>
            <w:tcW w:type="dxa" w:w="960"/>
          </w:tcPr>
          <w:p>
            <w:r>
              <w:t>IonQ</w:t>
            </w:r>
          </w:p>
        </w:tc>
        <w:tc>
          <w:tcPr>
            <w:tcW w:type="dxa" w:w="960"/>
          </w:tcPr>
          <w:p>
            <w:r>
              <w:t>C 观察信号</w:t>
            </w:r>
          </w:p>
        </w:tc>
        <w:tc>
          <w:tcPr>
            <w:tcW w:type="dxa" w:w="960"/>
          </w:tcPr>
          <w:p>
            <w:r>
              <w:t>弱收口：Bandwidth连续31天维持低于近8个月30%分位；中轨附近窄幅震荡；低位形态</w:t>
            </w:r>
          </w:p>
        </w:tc>
        <w:tc>
          <w:tcPr>
            <w:tcW w:type="dxa" w:w="960"/>
          </w:tcPr>
          <w:p>
            <w:r>
              <w:t>中轨附近</w:t>
            </w:r>
          </w:p>
        </w:tc>
        <w:tc>
          <w:tcPr>
            <w:tcW w:type="dxa" w:w="960"/>
          </w:tcPr>
          <w:p>
            <w:r>
              <w:t>27.24%</w:t>
            </w:r>
          </w:p>
        </w:tc>
        <w:tc>
          <w:tcPr>
            <w:tcW w:type="dxa" w:w="960"/>
          </w:tcPr>
          <w:p>
            <w:r>
              <w:t>0.323</w:t>
            </w:r>
          </w:p>
        </w:tc>
        <w:tc>
          <w:tcPr>
            <w:tcW w:type="dxa" w:w="960"/>
          </w:tcPr>
          <w:p>
            <w:r>
              <w:t>0.97</w:t>
            </w:r>
          </w:p>
        </w:tc>
        <w:tc>
          <w:tcPr>
            <w:tcW w:type="dxa" w:w="960"/>
          </w:tcPr>
          <w:p>
            <w:r>
              <w:t>布林带收口，说明波动率下降，股价可能处于蓄势阶段，但方向尚未确认。</w:t>
            </w:r>
          </w:p>
        </w:tc>
      </w:tr>
    </w:tbl>
    <w:p>
      <w:pPr>
        <w:pStyle w:val="Heading2"/>
      </w:pPr>
      <w:r>
        <w:t>二、重点结论</w:t>
      </w:r>
    </w:p>
    <w:p>
      <w:pPr>
        <w:pStyle w:val="ListBullet"/>
      </w:pPr>
      <w:r>
        <w:t>强信号：无。</w:t>
      </w:r>
    </w:p>
    <w:p>
      <w:pPr>
        <w:pStyle w:val="ListBullet"/>
      </w:pPr>
      <w:r>
        <w:t>中等信号：无。</w:t>
      </w:r>
    </w:p>
    <w:p>
      <w:pPr>
        <w:pStyle w:val="ListBullet"/>
      </w:pPr>
      <w:r>
        <w:t>观察信号：IONQ。</w:t>
      </w:r>
    </w:p>
    <w:p>
      <w:pPr>
        <w:pStyle w:val="ListBullet"/>
      </w:pPr>
      <w:r>
        <w:t>今日优先复核：IONQ。优先看是否放量、能否站稳上轨或中轨。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IONQ - IonQ</w:t>
      </w:r>
    </w:p>
    <w:p>
      <w:pPr>
        <w:pStyle w:val="ListBullet"/>
      </w:pPr>
      <w:r>
        <w:t>信号等级：C 观察信号</w:t>
      </w:r>
    </w:p>
    <w:p>
      <w:pPr>
        <w:pStyle w:val="ListBullet"/>
      </w:pPr>
      <w:r>
        <w:t>最新收盘价：$39.45</w:t>
      </w:r>
    </w:p>
    <w:p>
      <w:pPr>
        <w:pStyle w:val="ListBullet"/>
      </w:pPr>
      <w:r>
        <w:t>BOLL：上轨 $47.10；中轨 $41.45；下轨 $35.80</w:t>
      </w:r>
    </w:p>
    <w:p>
      <w:pPr>
        <w:pStyle w:val="ListBullet"/>
      </w:pPr>
      <w:r>
        <w:t>Bandwidth：27.24%；历史分位：11.31%；%B：0.323</w:t>
      </w:r>
    </w:p>
    <w:p>
      <w:pPr>
        <w:pStyle w:val="ListBullet"/>
      </w:pPr>
      <w:r>
        <w:t>成交量：当日 22905700；20日均量 23701965；量比 0.97</w:t>
      </w:r>
    </w:p>
    <w:p>
      <w:pPr>
        <w:pStyle w:val="ListBullet"/>
      </w:pPr>
      <w:r>
        <w:t>触发信号：弱收口：Bandwidth连续31天维持低于近8个月30%分位；中轨附近窄幅震荡；低位形态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NOK（Nokia Oyj）, XE（X-energy）, RKLB（Rocket Lab USA）, NBIS（Nebius Group）, ARM（Arm Holdings）, OPTX（Syntec Optics Holdings）, GLW（Corning）, COHR（Coherent）, LITE（Lumentum Holdings）, MRVL（Marvell Technology）, INTC（Intel）, ALAB（Astera Labs）, CRWV（CoreWeave）, ORCL（Oracle）, NVTS（Navitas Semiconductor）, POET（POET Technologies）, DELL（Dell Technologies）, BB（BlackBerry）, ONDS（Ondas Holdings）, SMR（NuScale Power）, OKLO（Oklo）, QBTS（D-Wave Quantum）, NVDA（NVIDIA）, AMZN（Amazon.com）, AMD（Advanced Micro Devices）, CRCL（Circle Internet Group）, FLY（Firefly Aerospace）, CBRS（Chain Bridge Bancorp）, SIVEF（Sivers Semiconductors）, SHAZ（Shaz）, LUNR（Intuitive Machines）, ASTS（AST SpaceMobile）, AAOI（Applied Optoelectronics）, SPCX（Space Exploration Technologies）, RDW（Redwire Corporation）, QCOM（QUALCOMM Incorporated）, COIN（Coinbase Global, Inc.）, VELO（Velo3D, Inc.）, MSFT（Microsoft Corporation）, GOOG（Alphabet Inc.）, AVGO（Broadcom Inc.）, AMAT（Applied Materials, Inc.）, AMKR（Amkor Technology, Inc.）, LRCX（Lam Research Corporation）, SNDK（Sandisk Corporation）, MU（Micron Technology, Inc.）, TSLA（Tesla, Inc.）, PLTR（Palantir Technologies Inc.）, IBM（International Business Machines）, FORM（FormFactor, Inc.）, MXL（MaxLinear, Inc）, MRNA（Moderna, Inc.）, BE（Bloom Energy Corporation）</w:t>
      </w:r>
    </w:p>
    <w:p>
      <w:r>
        <w:br w:type="page"/>
      </w:r>
    </w:p>
    <w:p>
      <w:pPr>
        <w:pStyle w:val="Heading2"/>
      </w:pPr>
      <w:r>
        <w:t>六、触发股票 BOLL 图表</w:t>
      </w:r>
    </w:p>
    <w:p>
      <w:pPr>
        <w:pStyle w:val="Heading3"/>
      </w:pPr>
      <w:r>
        <w:t>IONQ - IonQ</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IONQ_BOLL.png"/>
                    <pic:cNvPicPr/>
                  </pic:nvPicPr>
                  <pic:blipFill>
                    <a:blip r:embed="rId9"/>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