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报告日期：2026-10-08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趋势修复/震荡偏强(9)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8.26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56.93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81.58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20.67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105.90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13.70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80.84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6.85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当前价格：8.26</w:t>
      </w:r>
    </w:p>
    <w:p>
      <w:r>
        <w:t>趋势过滤：趋势修复/震荡偏强；上升趋势评分：9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RSI：RSI6=46.1；RSI12=51.5；RSI24=50.9；未进入过热见顶评分</w:t>
      </w:r>
    </w:p>
    <w:p>
      <w:pPr>
        <w:pStyle w:val="ListBullet"/>
      </w:pPr>
      <w:r>
        <w:t>MA20/50/200：MA20=7.72；MA50=7.87；MA200=7.87；收盘价站上MA20；收盘价站上MA50；收盘价站上MA200；MA50高于MA200；MA20斜率向上；MA50斜率向上；近20日收益为正；近60日收益为正</w:t>
      </w:r>
    </w:p>
    <w:p>
      <w:pPr>
        <w:pStyle w:val="ListBullet"/>
      </w:pPr>
      <w:r>
        <w:t>成交量变化：Volume/MA20=0.83倍；成交量为20日均量的0.83倍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8.26；MA20 7.72；MA50 7.87；MA200 7.87。若后续有效跌破MA50，趋势进一步恶化的概率上升。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当前价格：56.93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RSI：RSI6=38.1；RSI12=42.6；RSI24=44.7；未进入过热见顶评分</w:t>
      </w:r>
    </w:p>
    <w:p>
      <w:pPr>
        <w:pStyle w:val="ListBullet"/>
      </w:pPr>
      <w:r>
        <w:t>MA20/50/200：MA20=60.07；MA50=63.00；MA200=80.93；MA50斜率向上</w:t>
      </w:r>
    </w:p>
    <w:p>
      <w:pPr>
        <w:pStyle w:val="ListBullet"/>
      </w:pPr>
      <w:r>
        <w:t>成交量变化：Volume/MA20=1.70倍；成交量为20日均量的1.70倍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56.93；MA20 60.07；MA50 63.00；MA200 80.93。若后续有效跌破MA50，趋势进一步恶化的概率上升。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当前价格：81.58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RSI：RSI6=33.2；RSI12=41.7；RSI24=45.9；未进入过热见顶评分</w:t>
      </w:r>
    </w:p>
    <w:p>
      <w:pPr>
        <w:pStyle w:val="ListBullet"/>
      </w:pPr>
      <w:r>
        <w:t>MA20/50/200：MA20=85.99；MA50=88.26；MA200=92.60；MA50斜率向上；近60日收益为正</w:t>
      </w:r>
    </w:p>
    <w:p>
      <w:pPr>
        <w:pStyle w:val="ListBullet"/>
      </w:pPr>
      <w:r>
        <w:t>成交量变化：Volume/MA20=1.39倍；成交量为20日均量的1.39倍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81.58；MA20 85.99；MA50 88.26；MA200 92.60。若后续有效跌破MA50，趋势进一步恶化的概率上升。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数据提示：历史数据不足300个交易日，当前仅295个交易日；部分长期均线可能为空。</w:t>
      </w:r>
    </w:p>
    <w:p>
      <w:r>
        <w:t>当前价格：20.67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RSI：RSI6=28.6；RSI12=39.7；RSI24=43.8；未进入过热见顶评分</w:t>
      </w:r>
    </w:p>
    <w:p>
      <w:pPr>
        <w:pStyle w:val="ListBullet"/>
      </w:pPr>
      <w:r>
        <w:t>MA20/50/200：MA20=22.27；MA50=22.92；MA200=27.86；MA20斜率向上；MA50斜率向上</w:t>
      </w:r>
    </w:p>
    <w:p>
      <w:pPr>
        <w:pStyle w:val="ListBullet"/>
      </w:pPr>
      <w:r>
        <w:t>成交量变化：Volume/MA20=0.99倍；成交量为20日均量的0.99倍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20.67；MA20 22.27；MA50 22.92；MA200 27.86。若后续有效跌破MA50，趋势进一步恶化的概率上升。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当前价格：105.90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RSI：RSI6=42.1；RSI12=47.2；RSI24=47.6；未进入过热见顶评分</w:t>
      </w:r>
    </w:p>
    <w:p>
      <w:pPr>
        <w:pStyle w:val="ListBullet"/>
      </w:pPr>
      <w:r>
        <w:t>MA20/50/200：MA20=105.77；MA50=113.50；MA200=110.61；收盘价站上MA20；MA50高于MA200；MA20斜率向上；MA50斜率向上；近20日收益为正</w:t>
      </w:r>
    </w:p>
    <w:p>
      <w:pPr>
        <w:pStyle w:val="ListBullet"/>
      </w:pPr>
      <w:r>
        <w:t>成交量变化：Volume/MA20=2.24倍；成交量为20日均量的2.24倍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105.90；MA20 105.77；MA50 113.50；MA200 110.61。若后续有效跌破MA50，趋势进一步恶化的概率上升。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当前价格：13.70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RSI：RSI6=35.6；RSI12=40.9；RSI24=43.3；未进入过热见顶评分</w:t>
      </w:r>
    </w:p>
    <w:p>
      <w:pPr>
        <w:pStyle w:val="ListBullet"/>
      </w:pPr>
      <w:r>
        <w:t>MA20/50/200：MA20=14.67；MA50=15.42；MA200=20.27；MA50斜率向上</w:t>
      </w:r>
    </w:p>
    <w:p>
      <w:pPr>
        <w:pStyle w:val="ListBullet"/>
      </w:pPr>
      <w:r>
        <w:t>成交量变化：Volume/MA20=1.11倍；成交量为20日均量的1.11倍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13.70；MA20 14.67；MA50 15.42；MA200 20.27。若后续有效跌破MA50，趋势进一步恶化的概率上升。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当前价格：80.84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RSI：RSI6=33.7；RSI12=42.1；RSI24=47.6；未进入过热见顶评分</w:t>
      </w:r>
    </w:p>
    <w:p>
      <w:pPr>
        <w:pStyle w:val="ListBullet"/>
      </w:pPr>
      <w:r>
        <w:t>MA20/50/200：MA20=86.97；MA50=82.91；MA200=86.04；MA20高于MA50；MA50斜率向上；近60日收益为正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80.84；MA20 86.97；MA50 82.91；MA200 86.04。若后续有效跌破MA50，趋势进一步恶化的概率上升。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当前价格：6.85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RSI：RSI6=25.7；RSI12=34.9；RSI24=41.4；未进入过热见顶评分</w:t>
      </w:r>
    </w:p>
    <w:p>
      <w:pPr>
        <w:pStyle w:val="ListBullet"/>
      </w:pPr>
      <w:r>
        <w:t>MA20/50/200：MA20=7.36；MA50=7.96；MA200=9.42；未满足上升趋势过滤条件</w:t>
      </w:r>
    </w:p>
    <w:p>
      <w:pPr>
        <w:pStyle w:val="ListBullet"/>
      </w:pPr>
      <w:r>
        <w:t>成交量变化：Volume/MA20=0.99倍；成交量为20日均量的0.99倍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6.85；MA20 7.36；MA50 7.96；MA200 9.42。若后续有效跌破MA50，趋势进一步恶化的概率上升。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