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报告日期：2026-10-08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8.26</w:t>
            </w:r>
          </w:p>
        </w:tc>
        <w:tc>
          <w:tcPr>
            <w:tcW w:type="dxa" w:w="1234"/>
          </w:tcPr>
          <w:p>
            <w:r>
              <w:t>放量冲高后缩量；跌破MA5；RSI6掉头向下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105.90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81.58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56.93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20.67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13.70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80.84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6.85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当前价格：8.26</w:t>
      </w:r>
    </w:p>
    <w:p>
      <w:r>
        <w:t>短线状态：短线反弹确认；反弹确认分：5</w:t>
      </w:r>
    </w:p>
    <w:p>
      <w:r>
        <w:t>短线风险分：3；风险等级：短线反弹正常</w:t>
      </w:r>
    </w:p>
    <w:p>
      <w:r>
        <w:t>指标摘要：RSI6/RSI12=46.1/51.5；K/D/J=65.8/71.0/55.3；偏离MA20=7.06%；近5日涨幅=1.85%；量能=0.83倍。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8.26；MA5 9.18；MA10 8.42；MA20 7.72。若跌破MA5，短线反弹降温；若跌破MA20，反弹结构可能明显转弱。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当前价格：105.90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指标摘要：RSI6/RSI12=42.1/47.2；K/D/J=65.0/69.4/56.0；偏离MA20=0.12%；近5日涨幅=-1.32%；量能=2.24倍。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105.90；MA5 119.15；MA10 110.12；MA20 105.77。若跌破MA5，短线反弹降温；若跌破MA20，反弹结构可能明显转弱。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当前价格：81.58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指标摘要：RSI6/RSI12=33.2/41.7；K/D/J=43.5/56.2/18.3；偏离MA20=-5.13%；近5日涨幅=-7.89%；量能=1.39倍。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81.58；MA5 87.75；MA10 87.30；MA20 85.99。若跌破MA5，短线反弹降温；若跌破MA20，反弹结构可能明显转弱。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当前价格：56.93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指标摘要：RSI6/RSI12=38.1/42.6；K/D/J=35.6/36.8/33.1；偏离MA20=-5.23%；近5日涨幅=-0.19%；量能=1.70倍。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56.93；MA5 59.52；MA10 59.57；MA20 60.07。若跌破MA5，短线反弹降温；若跌破MA20，反弹结构可能明显转弱。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当前价格：20.67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指标摘要：RSI6/RSI12=28.6/39.7；K/D/J=23.9/36.4/-1.1；偏离MA20=-7.18%；近5日涨幅=-9.54%；量能=0.99倍。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20.67；MA5 22.18；MA10 22.83；MA20 22.27。若跌破MA5，短线反弹降温；若跌破MA20，反弹结构可能明显转弱。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当前价格：13.70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指标摘要：RSI6/RSI12=35.6/40.9；K/D/J=24.0/30.6/10.6；偏离MA20=-6.61%；近5日涨幅=-2.49%；量能=1.11倍。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13.70；MA5 14.43；MA10 14.58；MA20 14.67。若跌破MA5，短线反弹降温；若跌破MA20，反弹结构可能明显转弱。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当前价格：80.84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指标摘要：RSI6/RSI12=33.7/42.1；K/D/J=17.8/19.5/14.4；偏离MA20=-7.05%；近5日涨幅=-2.50%；量能=0.73倍。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80.84；MA5 82.07；MA10 83.39；MA20 86.97。若跌破MA5，短线反弹降温；若跌破MA20，反弹结构可能明显转弱。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当前价格：6.85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指标摘要：RSI6/RSI12=25.7/34.9；K/D/J=19.9/27.2/5.3；偏离MA20=-6.89%；近5日涨幅=-3.79%；量能=0.99倍。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6.85；MA5 7.22；MA10 7.34；MA20 7.36。若跌破MA5，短线反弹降温；若跌破MA20，反弹结构可能明显转弱。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