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报告日期：2026-09-04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上升趋势(10)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正常波动</w:t>
            </w:r>
          </w:p>
        </w:tc>
        <w:tc>
          <w:tcPr>
            <w:tcW w:type="dxa" w:w="1440"/>
          </w:tcPr>
          <w:p>
            <w:r>
              <w:t>102.05</w:t>
            </w:r>
          </w:p>
        </w:tc>
        <w:tc>
          <w:tcPr>
            <w:tcW w:type="dxa" w:w="1440"/>
          </w:tcPr>
          <w:p>
            <w:r>
              <w:t>短期涨幅偏大；中期涨幅偏大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7.57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62.31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趋势修复/震荡偏强(5)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89.36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21.67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趋势修复/震荡偏强(4)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105.53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14.81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7.62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当前价格：102.05</w:t>
      </w:r>
    </w:p>
    <w:p>
      <w:r>
        <w:t>趋势过滤：上升趋势；上升趋势评分：10</w:t>
      </w:r>
    </w:p>
    <w:p>
      <w:r>
        <w:t>当前状态：高位过热</w:t>
      </w:r>
    </w:p>
    <w:p>
      <w:r>
        <w:t>风险评分：总分 2；风险等级：正常波动</w:t>
      </w:r>
    </w:p>
    <w:p>
      <w:r>
        <w:t>技术指标：</w:t>
      </w:r>
    </w:p>
    <w:p>
      <w:pPr>
        <w:pStyle w:val="ListBullet"/>
      </w:pPr>
      <w:r>
        <w:t>MACD状态：MACD暂无明显转弱</w:t>
      </w:r>
    </w:p>
    <w:p>
      <w:pPr>
        <w:pStyle w:val="ListBullet"/>
      </w:pPr>
      <w:r>
        <w:t>KDJ状态：KDJ暂无明显风险</w:t>
      </w:r>
    </w:p>
    <w:p>
      <w:pPr>
        <w:pStyle w:val="ListBullet"/>
      </w:pPr>
      <w:r>
        <w:t>RSI：RSI6=69.7；RSI12=67.9；RSI24=62.0；RSI暂无明显风险</w:t>
      </w:r>
    </w:p>
    <w:p>
      <w:pPr>
        <w:pStyle w:val="ListBullet"/>
      </w:pPr>
      <w:r>
        <w:t>MA20/50/200：MA20=84.15；MA50=72.48；MA200=85.10；偏离MA20超过20%；偏离MA50超过35%</w:t>
      </w:r>
    </w:p>
    <w:p>
      <w:pPr>
        <w:pStyle w:val="ListBullet"/>
      </w:pPr>
      <w:r>
        <w:t>成交量变化：Volume/MA20=0.94倍；成交量为20日均量的0.94倍</w:t>
      </w:r>
    </w:p>
    <w:p>
      <w:r>
        <w:t>主要风险来源：</w:t>
      </w:r>
    </w:p>
    <w:p>
      <w:pPr>
        <w:pStyle w:val="ListBullet"/>
      </w:pPr>
      <w:r>
        <w:t>短期涨幅偏大</w:t>
      </w:r>
    </w:p>
    <w:p>
      <w:pPr>
        <w:pStyle w:val="ListBullet"/>
      </w:pPr>
      <w:r>
        <w:t>中期涨幅偏大</w:t>
      </w:r>
    </w:p>
    <w:p>
      <w:r>
        <w:t>判断：高位过热。MACD暂无明显转弱；KDJ暂无明显风险；RSI暂无明显风险。</w:t>
      </w:r>
    </w:p>
    <w:p>
      <w:r>
        <w:t>建议观察位置：当前价格 102.05；MA20 84.15；MA50 72.48；MA200 85.10。若后续有效跌破MA50，趋势进一步恶化的概率上升。</w:t>
      </w:r>
    </w:p>
    <w:p>
      <w:pPr>
        <w:pStyle w:val="Heading3"/>
      </w:pPr>
      <w:r>
        <w:t>OPTX</w:t>
      </w:r>
    </w:p>
    <w:p>
      <w:r>
        <w:t>当前价格：7.57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RSI：RSI6=38.8；RSI12=43.6；RSI24=46.0；未进入过热见顶评分</w:t>
      </w:r>
    </w:p>
    <w:p>
      <w:pPr>
        <w:pStyle w:val="ListBullet"/>
      </w:pPr>
      <w:r>
        <w:t>MA20/50/200：MA20=8.30；MA50=8.35；MA200=7.16；收盘价站上MA200；MA50高于MA200；MA20斜率向上</w:t>
      </w:r>
    </w:p>
    <w:p>
      <w:pPr>
        <w:pStyle w:val="ListBullet"/>
      </w:pPr>
      <w:r>
        <w:t>成交量变化：Volume/MA20=0.52倍；成交量为20日均量的0.52倍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7.57；MA20 8.30；MA50 8.35；MA200 7.16。若后续有效跌破MA50，趋势进一步恶化的概率上升。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当前价格：62.31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RSI：RSI6=51.9；RSI12=47.6；RSI24=46.4；未进入过热见顶评分</w:t>
      </w:r>
    </w:p>
    <w:p>
      <w:pPr>
        <w:pStyle w:val="ListBullet"/>
      </w:pPr>
      <w:r>
        <w:t>MA20/50/200：MA20=65.05；MA50=66.73；MA200=81.40；未满足上升趋势过滤条件</w:t>
      </w:r>
    </w:p>
    <w:p>
      <w:pPr>
        <w:pStyle w:val="ListBullet"/>
      </w:pPr>
      <w:r>
        <w:t>成交量变化：Volume/MA20=1.01倍；成交量为20日均量的1.01倍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62.31；MA20 65.05；MA50 66.73；MA200 81.40。若后续有效跌破MA50，趋势进一步恶化的概率上升。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当前价格：89.36</w:t>
      </w:r>
    </w:p>
    <w:p>
      <w:r>
        <w:t>趋势过滤：趋势修复/震荡偏强；上升趋势评分：5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RSI：RSI6=60.3；RSI12=52.7；RSI24=50.2；未进入过热见顶评分</w:t>
      </w:r>
    </w:p>
    <w:p>
      <w:pPr>
        <w:pStyle w:val="ListBullet"/>
      </w:pPr>
      <w:r>
        <w:t>MA20/50/200：MA20=91.02；MA50=85.62；MA200=91.47；收盘价站上MA50；MA20高于MA50；MA20斜率向上</w:t>
      </w:r>
    </w:p>
    <w:p>
      <w:pPr>
        <w:pStyle w:val="ListBullet"/>
      </w:pPr>
      <w:r>
        <w:t>成交量变化：Volume/MA20=0.76倍；成交量为20日均量的0.76倍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89.36；MA20 91.02；MA50 85.62；MA200 91.47。若后续有效跌破MA50，趋势进一步恶化的概率上升。</w:t>
      </w:r>
    </w:p>
    <w:p>
      <w:pPr>
        <w:pStyle w:val="Heading3"/>
      </w:pPr>
      <w:r>
        <w:t>FLY</w:t>
      </w:r>
    </w:p>
    <w:p>
      <w:r>
        <w:t>数据提示：历史数据不足300个交易日，当前仅272个交易日；部分长期均线可能为空。</w:t>
      </w:r>
    </w:p>
    <w:p>
      <w:r>
        <w:t>当前价格：21.67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RSI：RSI6=43.1；RSI12=42.1；RSI24=43.6；未进入过热见顶评分</w:t>
      </w:r>
    </w:p>
    <w:p>
      <w:pPr>
        <w:pStyle w:val="ListBullet"/>
      </w:pPr>
      <w:r>
        <w:t>MA20/50/200：MA20=23.77；MA50=23.33；MA200=27.53；MA20高于MA50</w:t>
      </w:r>
    </w:p>
    <w:p>
      <w:pPr>
        <w:pStyle w:val="ListBullet"/>
      </w:pPr>
      <w:r>
        <w:t>成交量变化：Volume/MA20=0.67倍；成交量为20日均量的0.67倍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21.67；MA20 23.77；MA50 23.33；MA200 27.53。若后续有效跌破MA50，趋势进一步恶化的概率上升。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当前价格：105.53</w:t>
      </w:r>
    </w:p>
    <w:p>
      <w:r>
        <w:t>趋势过滤：趋势修复/震荡偏强；上升趋势评分：4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RSI：RSI6=40.9；RSI12=43.0；RSI24=45.4；未进入过热见顶评分</w:t>
      </w:r>
    </w:p>
    <w:p>
      <w:pPr>
        <w:pStyle w:val="ListBullet"/>
      </w:pPr>
      <w:r>
        <w:t>MA20/50/200：MA20=121.11；MA50=117.63；MA200=101.51；MA20高于MA50；收盘价站上MA200；MA50高于MA200</w:t>
      </w:r>
    </w:p>
    <w:p>
      <w:pPr>
        <w:pStyle w:val="ListBullet"/>
      </w:pPr>
      <w:r>
        <w:t>成交量变化：Volume/MA20=0.70倍；成交量为20日均量的0.70倍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105.53；MA20 121.11；MA50 117.63；MA200 101.51。若后续有效跌破MA50，趋势进一步恶化的概率上升。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当前价格：14.81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RSI：RSI6=29.3；RSI12=39.7；RSI24=42.9；未进入过热见顶评分</w:t>
      </w:r>
    </w:p>
    <w:p>
      <w:pPr>
        <w:pStyle w:val="ListBullet"/>
      </w:pPr>
      <w:r>
        <w:t>MA20/50/200：MA20=16.78；MA50=15.99；MA200=19.78；MA20高于MA50；MA20斜率向上</w:t>
      </w:r>
    </w:p>
    <w:p>
      <w:pPr>
        <w:pStyle w:val="ListBullet"/>
      </w:pPr>
      <w:r>
        <w:t>成交量变化：Volume/MA20=0.50倍；成交量为20日均量的0.50倍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14.81；MA20 16.78；MA50 15.99；MA200 19.78。若后续有效跌破MA50，趋势进一步恶化的概率上升。</w:t>
      </w:r>
    </w:p>
    <w:p>
      <w:pPr>
        <w:pStyle w:val="Heading3"/>
      </w:pPr>
      <w:r>
        <w:t>ONDS</w:t>
      </w:r>
    </w:p>
    <w:p>
      <w:r>
        <w:t>当前价格：7.62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RSI：RSI6=40.2；RSI12=42.6；RSI24=45.5；未进入过热见顶评分</w:t>
      </w:r>
    </w:p>
    <w:p>
      <w:pPr>
        <w:pStyle w:val="ListBullet"/>
      </w:pPr>
      <w:r>
        <w:t>MA20/50/200：MA20=8.50；MA50=8.03；MA200=9.52；MA20高于MA50</w:t>
      </w:r>
    </w:p>
    <w:p>
      <w:pPr>
        <w:pStyle w:val="ListBullet"/>
      </w:pPr>
      <w:r>
        <w:t>成交量变化：Volume/MA20=0.61倍；成交量为20日均量的0.61倍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7.62；MA20 8.50；MA50 8.03；MA200 9.52。若后续有效跌破MA50，趋势进一步恶化的概率上升。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