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美股短线反弹风险监控报告</w:t>
      </w:r>
    </w:p>
    <w:p>
      <w:pPr>
        <w:jc w:val="center"/>
      </w:pPr>
      <w:r>
        <w:t>报告日期：2026-09-04</w:t>
      </w:r>
    </w:p>
    <w:p>
      <w:pPr>
        <w:pStyle w:val="Heading2"/>
      </w:pPr>
      <w:r>
        <w:t>一、短线风险排名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股票</w:t>
            </w:r>
          </w:p>
        </w:tc>
        <w:tc>
          <w:tcPr>
            <w:tcW w:type="dxa" w:w="1234"/>
          </w:tcPr>
          <w:p>
            <w:r>
              <w:rPr>
                <w:b/>
              </w:rPr>
              <w:t>短线状态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反弹分</w:t>
            </w:r>
          </w:p>
        </w:tc>
        <w:tc>
          <w:tcPr>
            <w:tcW w:type="dxa" w:w="1234"/>
          </w:tcPr>
          <w:p>
            <w:r>
              <w:rPr>
                <w:b/>
              </w:rPr>
              <w:t>风险分</w:t>
            </w:r>
          </w:p>
        </w:tc>
        <w:tc>
          <w:tcPr>
            <w:tcW w:type="dxa" w:w="1234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1234"/>
          </w:tcPr>
          <w:p>
            <w:r>
              <w:rPr>
                <w:b/>
              </w:rPr>
              <w:t>收盘价</w:t>
            </w:r>
          </w:p>
        </w:tc>
        <w:tc>
          <w:tcPr>
            <w:tcW w:type="dxa" w:w="1234"/>
          </w:tcPr>
          <w:p>
            <w:r>
              <w:rPr>
                <w:b/>
              </w:rPr>
              <w:t>主要风险</w:t>
            </w:r>
          </w:p>
        </w:tc>
      </w:tr>
      <w:tr>
        <w:tc>
          <w:tcPr>
            <w:tcW w:type="dxa" w:w="1234"/>
          </w:tcPr>
          <w:p>
            <w:r>
              <w:t>CRCL</w:t>
            </w:r>
          </w:p>
        </w:tc>
        <w:tc>
          <w:tcPr>
            <w:tcW w:type="dxa" w:w="1234"/>
          </w:tcPr>
          <w:p>
            <w:r>
              <w:t>短线反弹确认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短线偏热</w:t>
            </w:r>
          </w:p>
        </w:tc>
        <w:tc>
          <w:tcPr>
            <w:tcW w:type="dxa" w:w="1234"/>
          </w:tcPr>
          <w:p>
            <w:r>
              <w:t>102.05</w:t>
            </w:r>
          </w:p>
        </w:tc>
        <w:tc>
          <w:tcPr>
            <w:tcW w:type="dxa" w:w="1234"/>
          </w:tcPr>
          <w:p>
            <w:r>
              <w:t>偏离MA20超过15%；RSI12大于65；近5日涨幅超过15%；RSI6掉头向下</w:t>
            </w:r>
          </w:p>
        </w:tc>
      </w:tr>
      <w:tr>
        <w:tc>
          <w:tcPr>
            <w:tcW w:type="dxa" w:w="1234"/>
          </w:tcPr>
          <w:p>
            <w:r>
              <w:t>CRWV</w:t>
            </w:r>
          </w:p>
        </w:tc>
        <w:tc>
          <w:tcPr>
            <w:tcW w:type="dxa" w:w="1234"/>
          </w:tcPr>
          <w:p>
            <w:r>
              <w:t>短线反弹确认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短线反弹正常</w:t>
            </w:r>
          </w:p>
        </w:tc>
        <w:tc>
          <w:tcPr>
            <w:tcW w:type="dxa" w:w="1234"/>
          </w:tcPr>
          <w:p>
            <w:r>
              <w:t>89.36</w:t>
            </w:r>
          </w:p>
        </w:tc>
        <w:tc>
          <w:tcPr>
            <w:tcW w:type="dxa" w:w="1234"/>
          </w:tcPr>
          <w:p>
            <w:r>
              <w:t>短线反弹正常，暂无明显过热衰竭信号</w:t>
            </w:r>
          </w:p>
        </w:tc>
      </w:tr>
      <w:tr>
        <w:tc>
          <w:tcPr>
            <w:tcW w:type="dxa" w:w="1234"/>
          </w:tcPr>
          <w:p>
            <w:r>
              <w:t>ASTS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62.31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FLY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21.67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AAOI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105.53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ONDS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7.62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OPTX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7.57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LUNR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14.81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</w:tbl>
    <w:p>
      <w:pPr>
        <w:pStyle w:val="Heading2"/>
      </w:pPr>
      <w:r>
        <w:t>二、逐股票分析</w:t>
      </w:r>
    </w:p>
    <w:p>
      <w:pPr>
        <w:pStyle w:val="Heading3"/>
      </w:pPr>
      <w:r>
        <w:t>CRCL</w:t>
      </w:r>
    </w:p>
    <w:p>
      <w:r>
        <w:t>当前价格：102.05</w:t>
      </w:r>
    </w:p>
    <w:p>
      <w:r>
        <w:t>短线状态：短线反弹确认；反弹确认分：7</w:t>
      </w:r>
    </w:p>
    <w:p>
      <w:r>
        <w:t>短线风险分：5；风险等级：短线偏热</w:t>
      </w:r>
    </w:p>
    <w:p>
      <w:r>
        <w:t>指标摘要：RSI6/RSI12=69.7/67.9；K/D/J=81.3/77.3/89.4；偏离MA20=21.27%；近5日涨幅=17.11%；量能=0.94倍。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收盘价站上MA20</w:t>
      </w:r>
    </w:p>
    <w:p>
      <w:pPr>
        <w:pStyle w:val="ListBullet"/>
      </w:pPr>
      <w:r>
        <w:t>MA5高于MA10</w:t>
      </w:r>
    </w:p>
    <w:p>
      <w:pPr>
        <w:pStyle w:val="ListBullet"/>
      </w:pPr>
      <w:r>
        <w:t>RSI12站上50</w:t>
      </w:r>
    </w:p>
    <w:p>
      <w:pPr>
        <w:pStyle w:val="ListBullet"/>
      </w:pPr>
      <w:r>
        <w:t>近5日收益为正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偏离MA20超过15%</w:t>
      </w:r>
    </w:p>
    <w:p>
      <w:pPr>
        <w:pStyle w:val="ListBullet"/>
      </w:pPr>
      <w:r>
        <w:t>RSI12大于65</w:t>
      </w:r>
    </w:p>
    <w:p>
      <w:pPr>
        <w:pStyle w:val="ListBullet"/>
      </w:pPr>
      <w:r>
        <w:t>近5日涨幅超过15%</w:t>
      </w:r>
    </w:p>
    <w:p>
      <w:pPr>
        <w:pStyle w:val="ListBullet"/>
      </w:pPr>
      <w:r>
        <w:t>RSI6掉头向下</w:t>
      </w:r>
    </w:p>
    <w:p>
      <w:r>
        <w:t>建议观察位置：当前价格 102.05；MA5 95.79；MA10 93.00；MA20 84.15。若跌破MA5，短线反弹降温；若跌破MA20，反弹结构可能明显转弱。</w:t>
      </w:r>
    </w:p>
    <w:p>
      <w:pPr>
        <w:pStyle w:val="Heading3"/>
      </w:pPr>
      <w:r>
        <w:t>CRWV</w:t>
      </w:r>
    </w:p>
    <w:p>
      <w:r>
        <w:t>当前价格：89.36</w:t>
      </w:r>
    </w:p>
    <w:p>
      <w:r>
        <w:t>短线状态：短线反弹确认；反弹确认分：5</w:t>
      </w:r>
    </w:p>
    <w:p>
      <w:r>
        <w:t>短线风险分：0；风险等级：短线反弹正常</w:t>
      </w:r>
    </w:p>
    <w:p>
      <w:r>
        <w:t>指标摘要：RSI6/RSI12=60.3/52.7；K/D/J=42.3/25.8/75.1；偏离MA20=-1.82%；近5日涨幅=6.09%；量能=0.76倍。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RSI12站上50</w:t>
      </w:r>
    </w:p>
    <w:p>
      <w:pPr>
        <w:pStyle w:val="ListBullet"/>
      </w:pPr>
      <w:r>
        <w:t>近5日收益为正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短线反弹正常，暂无明显过热衰竭信号</w:t>
      </w:r>
    </w:p>
    <w:p>
      <w:r>
        <w:t>建议观察位置：当前价格 89.36；MA5 84.32；MA10 85.49；MA20 91.02。若跌破MA5，短线反弹降温；若跌破MA20，反弹结构可能明显转弱。</w:t>
      </w:r>
    </w:p>
    <w:p>
      <w:pPr>
        <w:pStyle w:val="Heading3"/>
      </w:pPr>
      <w:r>
        <w:t>ASTS</w:t>
      </w:r>
    </w:p>
    <w:p>
      <w:r>
        <w:t>当前价格：62.31</w:t>
      </w:r>
    </w:p>
    <w:p>
      <w:r>
        <w:t>短线状态：未形成短线反弹；反弹确认分：3</w:t>
      </w:r>
    </w:p>
    <w:p>
      <w:r>
        <w:t>短线风险分：0；风险等级：未形成短线反弹，不进入过热评分</w:t>
      </w:r>
    </w:p>
    <w:p>
      <w:r>
        <w:t>指标摘要：RSI6/RSI12=51.9/47.6；K/D/J=44.0/29.5/73.2；偏离MA20=-4.21%；近5日涨幅=7.34%；量能=1.01倍。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近5日收益为正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62.31；MA5 60.35；MA10 60.55；MA20 65.05。若跌破MA5，短线反弹降温；若跌破MA20，反弹结构可能明显转弱。</w:t>
      </w:r>
    </w:p>
    <w:p>
      <w:pPr>
        <w:pStyle w:val="Heading3"/>
      </w:pPr>
      <w:r>
        <w:t>FLY</w:t>
      </w:r>
    </w:p>
    <w:p>
      <w:r>
        <w:t>当前价格：21.67</w:t>
      </w:r>
    </w:p>
    <w:p>
      <w:r>
        <w:t>短线状态：未形成短线反弹；反弹确认分：3</w:t>
      </w:r>
    </w:p>
    <w:p>
      <w:r>
        <w:t>短线风险分：0；风险等级：未形成短线反弹，不进入过热评分</w:t>
      </w:r>
    </w:p>
    <w:p>
      <w:r>
        <w:t>指标摘要：RSI6/RSI12=43.1/42.1；K/D/J=21.7/15.4/34.2；偏离MA20=-8.84%；近5日涨幅=1.93%；量能=0.67倍。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近5日收益为正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21.67；MA5 21.12；MA10 21.66；MA20 23.77。若跌破MA5，短线反弹降温；若跌破MA20，反弹结构可能明显转弱。</w:t>
      </w:r>
    </w:p>
    <w:p>
      <w:pPr>
        <w:pStyle w:val="Heading3"/>
      </w:pPr>
      <w:r>
        <w:t>AAOI</w:t>
      </w:r>
    </w:p>
    <w:p>
      <w:r>
        <w:t>当前价格：105.53</w:t>
      </w:r>
    </w:p>
    <w:p>
      <w:r>
        <w:t>短线状态：未形成短线反弹；反弹确认分：1</w:t>
      </w:r>
    </w:p>
    <w:p>
      <w:r>
        <w:t>短线风险分：0；风险等级：未形成短线反弹，不进入过热评分</w:t>
      </w:r>
    </w:p>
    <w:p>
      <w:r>
        <w:t>指标摘要：RSI6/RSI12=40.9/43.0；K/D/J=21.4/16.8/30.4；偏离MA20=-12.86%；近5日涨幅=-0.66%；量能=0.70倍。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105.53；MA5 104.02；MA10 107.42；MA20 121.11。若跌破MA5，短线反弹降温；若跌破MA20，反弹结构可能明显转弱。</w:t>
      </w:r>
    </w:p>
    <w:p>
      <w:pPr>
        <w:pStyle w:val="Heading3"/>
      </w:pPr>
      <w:r>
        <w:t>ONDS</w:t>
      </w:r>
    </w:p>
    <w:p>
      <w:r>
        <w:t>当前价格：7.62</w:t>
      </w:r>
    </w:p>
    <w:p>
      <w:r>
        <w:t>短线状态：未形成短线反弹；反弹确认分：1</w:t>
      </w:r>
    </w:p>
    <w:p>
      <w:r>
        <w:t>短线风险分：0；风险等级：未形成短线反弹，不进入过热评分</w:t>
      </w:r>
    </w:p>
    <w:p>
      <w:r>
        <w:t>指标摘要：RSI6/RSI12=40.2/42.6；K/D/J=26.7/21.9/36.4；偏离MA20=-10.31%；近5日涨幅=-3.54%；量能=0.61倍。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7.62；MA5 7.51；MA10 7.89；MA20 8.50。若跌破MA5，短线反弹降温；若跌破MA20，反弹结构可能明显转弱。</w:t>
      </w:r>
    </w:p>
    <w:p>
      <w:pPr>
        <w:pStyle w:val="Heading3"/>
      </w:pPr>
      <w:r>
        <w:t>OPTX</w:t>
      </w:r>
    </w:p>
    <w:p>
      <w:r>
        <w:t>当前价格：7.57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指标摘要：RSI6/RSI12=38.8/43.6；K/D/J=28.7/33.3/19.4；偏离MA20=-8.79%；近5日涨幅=-11.15%；量能=0.52倍。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7.57；MA5 7.67；MA10 8.02；MA20 8.30。若跌破MA5，短线反弹降温；若跌破MA20，反弹结构可能明显转弱。</w:t>
      </w:r>
    </w:p>
    <w:p>
      <w:pPr>
        <w:pStyle w:val="Heading3"/>
      </w:pPr>
      <w:r>
        <w:t>LUNR</w:t>
      </w:r>
    </w:p>
    <w:p>
      <w:r>
        <w:t>当前价格：14.81</w:t>
      </w:r>
    </w:p>
    <w:p>
      <w:r>
        <w:t>短线状态：未形成短线反弹；反弹确认分：0</w:t>
      </w:r>
    </w:p>
    <w:p>
      <w:r>
        <w:t>短线风险分：0；风险等级：未形成短线反弹，不进入过热评分</w:t>
      </w:r>
    </w:p>
    <w:p>
      <w:r>
        <w:t>指标摘要：RSI6/RSI12=29.3/39.7；K/D/J=13.1/15.3/8.7；偏离MA20=-11.74%；近5日涨幅=-3.64%；量能=0.50倍。</w:t>
      </w:r>
    </w:p>
    <w:p>
      <w:r>
        <w:t>反弹成立条件：</w:t>
      </w:r>
    </w:p>
    <w:p>
      <w:pPr>
        <w:pStyle w:val="ListBullet"/>
      </w:pPr>
      <w:r>
        <w:t>暂无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14.81；MA5 14.89；MA10 15.54；MA20 16.78。若跌破MA5，短线反弹降温；若跌破MA20，反弹结构可能明显转弱。</w:t>
      </w:r>
    </w:p>
    <w:p>
      <w:r>
        <w:t>本报告仅用于短线技术状态监控，不构成任何投资建议。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