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报告日期：2026-10-26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6.56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39.45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55.19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18.25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71.94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10.48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79.84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6.16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当前价格：6.56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RSI：RSI6=31.1；RSI12=38.5；RSI24=43.5；未进入过热见顶评分</w:t>
      </w:r>
    </w:p>
    <w:p>
      <w:pPr>
        <w:pStyle w:val="ListBullet"/>
      </w:pPr>
      <w:r>
        <w:t>MA20/50/200：MA20=7.72；MA50=7.70；MA200=8.13；MA20高于MA50；近60日收益为正</w:t>
      </w:r>
    </w:p>
    <w:p>
      <w:pPr>
        <w:pStyle w:val="ListBullet"/>
      </w:pPr>
      <w:r>
        <w:t>成交量变化：Volume/MA20=0.70倍；成交量为20日均量的0.70倍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6.56；MA20 7.72；MA50 7.70；MA200 8.13。若后续有效跌破MA50，趋势进一步恶化的概率上升。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当前价格：39.45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RSI：RSI6=26.5；RSI12=29.3；RSI24=35.6；未进入过热见顶评分</w:t>
      </w:r>
    </w:p>
    <w:p>
      <w:pPr>
        <w:pStyle w:val="ListBullet"/>
      </w:pPr>
      <w:r>
        <w:t>MA20/50/200：MA20=49.58；MA50=57.05；MA200=78.58；未满足上升趋势过滤条件</w:t>
      </w:r>
    </w:p>
    <w:p>
      <w:pPr>
        <w:pStyle w:val="ListBullet"/>
      </w:pPr>
      <w:r>
        <w:t>成交量变化：Volume/MA20=0.62倍；成交量为20日均量的0.62倍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39.45；MA20 49.58；MA50 57.05；MA200 78.58。若后续有效跌破MA50，趋势进一步恶化的概率上升。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当前价格：55.19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RSI：RSI6=19.7；RSI12=25.5；RSI24=34.4；未进入过热见顶评分</w:t>
      </w:r>
    </w:p>
    <w:p>
      <w:pPr>
        <w:pStyle w:val="ListBullet"/>
      </w:pPr>
      <w:r>
        <w:t>MA20/50/200：MA20=74.37；MA50=82.27；MA200=91.89；未满足上升趋势过滤条件</w:t>
      </w:r>
    </w:p>
    <w:p>
      <w:pPr>
        <w:pStyle w:val="ListBullet"/>
      </w:pPr>
      <w:r>
        <w:t>成交量变化：Volume/MA20=1.26倍；成交量为20日均量的1.26倍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55.19；MA20 74.37；MA50 82.27；MA200 91.89。若后续有效跌破MA50，趋势进一步恶化的概率上升。</w:t>
      </w:r>
    </w:p>
    <w:p>
      <w:pPr>
        <w:pStyle w:val="Heading3"/>
      </w:pPr>
      <w:r>
        <w:t>FLY</w:t>
      </w:r>
    </w:p>
    <w:p>
      <w:r>
        <w:t>当前价格：18.25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RSI：RSI6=50.6；RSI12=42.4；RSI24=42.4；未进入过热见顶评分</w:t>
      </w:r>
    </w:p>
    <w:p>
      <w:pPr>
        <w:pStyle w:val="ListBullet"/>
      </w:pPr>
      <w:r>
        <w:t>MA20/50/200：MA20=19.68；MA50=21.36；MA200=27.40；未满足上升趋势过滤条件</w:t>
      </w:r>
    </w:p>
    <w:p>
      <w:pPr>
        <w:pStyle w:val="ListBullet"/>
      </w:pPr>
      <w:r>
        <w:t>成交量变化：Volume/MA20=0.75倍；成交量为20日均量的0.75倍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18.25；MA20 19.68；MA50 21.36；MA200 27.40。若后续有效跌破MA50，趋势进一步恶化的概率上升。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当前价格：71.94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RSI：RSI6=31.2；RSI12=33.6；RSI24=39.1；未进入过热见顶评分</w:t>
      </w:r>
    </w:p>
    <w:p>
      <w:pPr>
        <w:pStyle w:val="ListBullet"/>
      </w:pPr>
      <w:r>
        <w:t>MA20/50/200：MA20=94.82；MA50=103.36；MA200=113.33；未满足上升趋势过滤条件</w:t>
      </w:r>
    </w:p>
    <w:p>
      <w:pPr>
        <w:pStyle w:val="ListBullet"/>
      </w:pPr>
      <w:r>
        <w:t>成交量变化：Volume/MA20=0.96倍；成交量为20日均量的0.96倍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71.94；MA20 94.82；MA50 103.36；MA200 113.33。若后续有效跌破MA50，趋势进一步恶化的概率上升。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当前价格：10.48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RSI：RSI6=27.2；RSI12=30.6；RSI24=36.5；未进入过热见顶评分</w:t>
      </w:r>
    </w:p>
    <w:p>
      <w:pPr>
        <w:pStyle w:val="ListBullet"/>
      </w:pPr>
      <w:r>
        <w:t>MA20/50/200：MA20=12.51；MA50=14.47；MA200=19.92；未满足上升趋势过滤条件</w:t>
      </w:r>
    </w:p>
    <w:p>
      <w:pPr>
        <w:pStyle w:val="ListBullet"/>
      </w:pPr>
      <w:r>
        <w:t>成交量变化：Volume/MA20=0.60倍；成交量为20日均量的0.60倍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10.48；MA20 12.51；MA50 14.47；MA200 19.92。若后续有效跌破MA50，趋势进一步恶化的概率上升。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当前价格：79.84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RSI：RSI6=36.9；RSI12=43.1；RSI24=47.1；未进入过热见顶评分</w:t>
      </w:r>
    </w:p>
    <w:p>
      <w:pPr>
        <w:pStyle w:val="ListBullet"/>
      </w:pPr>
      <w:r>
        <w:t>MA20/50/200：MA20=83.49；MA50=87.12；MA200=86.15；MA50高于MA200；MA50斜率向上；近60日收益为正</w:t>
      </w:r>
    </w:p>
    <w:p>
      <w:pPr>
        <w:pStyle w:val="ListBullet"/>
      </w:pPr>
      <w:r>
        <w:t>成交量变化：Volume/MA20=1.12倍；成交量为20日均量的1.12倍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79.84；MA20 83.49；MA50 87.12；MA200 86.15。若后续有效跌破MA50，趋势进一步恶化的概率上升。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当前价格：6.16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RSI：RSI6=39.8；RSI12=36.4；RSI24=39.3；未进入过热见顶评分</w:t>
      </w:r>
    </w:p>
    <w:p>
      <w:pPr>
        <w:pStyle w:val="ListBullet"/>
      </w:pPr>
      <w:r>
        <w:t>MA20/50/200：MA20=6.67；MA50=7.35；MA200=9.17；未满足上升趋势过滤条件</w:t>
      </w:r>
    </w:p>
    <w:p>
      <w:pPr>
        <w:pStyle w:val="ListBullet"/>
      </w:pPr>
      <w:r>
        <w:t>成交量变化：Volume/MA20=0.63倍；成交量为20日均量的0.63倍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6.16；MA20 6.67；MA50 7.35；MA200 9.17。若后续有效跌破MA50，趋势进一步恶化的概率上升。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