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报告日期：2026-10-26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18.25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6.16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79.84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6.56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39.45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55.19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71.94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10.48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FLY</w:t>
      </w:r>
    </w:p>
    <w:p>
      <w:r>
        <w:t>当前价格：18.25</w:t>
      </w:r>
    </w:p>
    <w:p>
      <w:r>
        <w:t>短线状态：短线反弹初步成立；反弹确认分：4</w:t>
      </w:r>
    </w:p>
    <w:p>
      <w:r>
        <w:t>短线风险分：0；风险等级：短线反弹正常</w:t>
      </w:r>
    </w:p>
    <w:p>
      <w:r>
        <w:t>指标摘要：RSI6/RSI12=50.6/42.4；K/D/J=52.8/33.9/90.6；偏离MA20=-7.29%；近5日涨幅=9.68%；量能=0.75倍。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18.25；MA5 17.59；MA10 17.45；MA20 19.68。若跌破MA5，短线反弹降温；若跌破MA20，反弹结构可能明显转弱。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当前价格：6.16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指标摘要：RSI6/RSI12=39.8/36.4；K/D/J=33.2/26.5/46.6；偏离MA20=-7.71%；近5日涨幅=1.65%；量能=0.63倍。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6.16；MA5 6.15；MA10 6.20；MA20 6.67。若跌破MA5，短线反弹降温；若跌破MA20，反弹结构可能明显转弱。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当前价格：79.84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指标摘要：RSI6/RSI12=36.9/43.1；K/D/J=53.9/60.7/40.4；偏离MA20=-4.37%；近5日涨幅=-1.88%；量能=1.12倍。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79.84；MA5 85.59；MA10 84.23；MA20 83.49。若跌破MA5，短线反弹降温；若跌破MA20，反弹结构可能明显转弱。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当前价格：6.56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指标摘要：RSI6/RSI12=31.1/38.5；K/D/J=20.7/21.5/19.2；偏离MA20=-15.00%；近5日涨幅=-1.20%；量能=0.70倍。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6.56；MA5 6.81；MA10 6.87；MA20 7.72。若跌破MA5，短线反弹降温；若跌破MA20，反弹结构可能明显转弱。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当前价格：39.45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指标摘要：RSI6/RSI12=26.5/29.3；K/D/J=19.5/14.7/28.9；偏离MA20=-20.43%；近5日涨幅=-5.78%；量能=0.62倍。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39.45；MA5 40.01；MA10 41.62；MA20 49.58。若跌破MA5，短线反弹降温；若跌破MA20，反弹结构可能明显转弱。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当前价格：55.19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指标摘要：RSI6/RSI12=19.7/25.5；K/D/J=12.4/12.8/11.4；偏离MA20=-25.79%；近5日涨幅=-9.70%；量能=1.26倍。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55.19；MA5 57.79；MA10 62.48；MA20 74.37。若跌破MA5，短线反弹降温；若跌破MA20，反弹结构可能明显转弱。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当前价格：71.94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指标摘要：RSI6/RSI12=31.2/33.6；K/D/J=10.6/10.3/11.1；偏离MA20=-24.13%；近5日涨幅=-8.01%；量能=0.96倍。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71.94；MA5 72.32；MA10 78.31；MA20 94.82。若跌破MA5，短线反弹降温；若跌破MA20，反弹结构可能明显转弱。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当前价格：10.48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指标摘要：RSI6/RSI12=27.2/30.6；K/D/J=18.0/15.4/23.2；偏离MA20=-16.24%；近5日涨幅=-2.42%；量能=0.60倍。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10.48；MA5 10.58；MA10 10.92；MA20 12.51。若跌破MA5，短线反弹降温；若跌破MA20，反弹结构可能明显转弱。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