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- 2026-10-07</w:t>
      </w:r>
    </w:p>
    <w:p>
      <w:pPr>
        <w:pStyle w:val="ListBullet"/>
      </w:pPr>
      <w:r>
        <w:t>生成时间（美东）：2026-10-07 22:44:12 EDT</w:t>
      </w:r>
    </w:p>
    <w:p>
      <w:pPr>
        <w:pStyle w:val="ListBullet"/>
      </w:pPr>
      <w:r>
        <w:t>最新可用交易日：2026-10-07</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AAOI</w:t>
            </w:r>
          </w:p>
        </w:tc>
        <w:tc>
          <w:tcPr>
            <w:tcW w:type="dxa" w:w="960"/>
          </w:tcPr>
          <w:p>
            <w:r>
              <w:t>Applied Optoelectronics</w:t>
            </w:r>
          </w:p>
        </w:tc>
        <w:tc>
          <w:tcPr>
            <w:tcW w:type="dxa" w:w="960"/>
          </w:tcPr>
          <w:p>
            <w:r>
              <w:t>A 强信号</w:t>
            </w:r>
          </w:p>
        </w:tc>
        <w:tc>
          <w:tcPr>
            <w:tcW w:type="dxa" w:w="960"/>
          </w:tcPr>
          <w:p>
            <w:r>
              <w:t>布林带向上开口（最近5天）；成交量放大；中轨反弹并接近上轨；成交量放大</w:t>
            </w:r>
          </w:p>
        </w:tc>
        <w:tc>
          <w:tcPr>
            <w:tcW w:type="dxa" w:w="960"/>
          </w:tcPr>
          <w:p>
            <w:r>
              <w:t>靠近上轨</w:t>
            </w:r>
          </w:p>
        </w:tc>
        <w:tc>
          <w:tcPr>
            <w:tcW w:type="dxa" w:w="960"/>
          </w:tcPr>
          <w:p>
            <w:r>
              <w:t>35.96%</w:t>
            </w:r>
          </w:p>
        </w:tc>
        <w:tc>
          <w:tcPr>
            <w:tcW w:type="dxa" w:w="960"/>
          </w:tcPr>
          <w:p>
            <w:r>
              <w:t>0.945</w:t>
            </w:r>
          </w:p>
        </w:tc>
        <w:tc>
          <w:tcPr>
            <w:tcW w:type="dxa" w:w="960"/>
          </w:tcPr>
          <w:p>
            <w:r>
              <w:t>1.35</w:t>
            </w:r>
          </w:p>
        </w:tc>
        <w:tc>
          <w:tcPr>
            <w:tcW w:type="dxa" w:w="960"/>
          </w:tcPr>
          <w:p>
            <w:r>
              <w:t>布林带向上开口，说明波动率开始放大，股价接近上轨，可能进入趋势启动观察阶段，需要继续结合突</w:t>
            </w:r>
          </w:p>
        </w:tc>
      </w:tr>
      <w:tr>
        <w:tc>
          <w:tcPr>
            <w:tcW w:type="dxa" w:w="960"/>
          </w:tcPr>
          <w:p>
            <w:r>
              <w:t>LUNR</w:t>
            </w:r>
          </w:p>
        </w:tc>
        <w:tc>
          <w:tcPr>
            <w:tcW w:type="dxa" w:w="960"/>
          </w:tcPr>
          <w:p>
            <w:r>
              <w:t>Intuitive Machines</w:t>
            </w:r>
          </w:p>
        </w:tc>
        <w:tc>
          <w:tcPr>
            <w:tcW w:type="dxa" w:w="960"/>
          </w:tcPr>
          <w:p>
            <w:r>
              <w:t>B 中等信号</w:t>
            </w:r>
          </w:p>
        </w:tc>
        <w:tc>
          <w:tcPr>
            <w:tcW w:type="dxa" w:w="960"/>
          </w:tcPr>
          <w:p>
            <w:r>
              <w:t>中等收口：Bandwidth低于近8个月20%分位且持续13天；中轨附近窄幅震荡；接近突破中轨；低位形态</w:t>
            </w:r>
          </w:p>
        </w:tc>
        <w:tc>
          <w:tcPr>
            <w:tcW w:type="dxa" w:w="960"/>
          </w:tcPr>
          <w:p>
            <w:r>
              <w:t>中轨附近</w:t>
            </w:r>
          </w:p>
        </w:tc>
        <w:tc>
          <w:tcPr>
            <w:tcW w:type="dxa" w:w="960"/>
          </w:tcPr>
          <w:p>
            <w:r>
              <w:t>18.84%</w:t>
            </w:r>
          </w:p>
        </w:tc>
        <w:tc>
          <w:tcPr>
            <w:tcW w:type="dxa" w:w="960"/>
          </w:tcPr>
          <w:p>
            <w:r>
              <w:t>0.390</w:t>
            </w:r>
          </w:p>
        </w:tc>
        <w:tc>
          <w:tcPr>
            <w:tcW w:type="dxa" w:w="960"/>
          </w:tcPr>
          <w:p>
            <w:r>
              <w:t>1.21</w:t>
            </w:r>
          </w:p>
        </w:tc>
        <w:tc>
          <w:tcPr>
            <w:tcW w:type="dxa" w:w="960"/>
          </w:tcPr>
          <w:p>
            <w:r>
              <w:t>布林带收口，说明波动率下降，股价可能处于蓄势阶段，但方向尚未确认。</w:t>
            </w:r>
          </w:p>
        </w:tc>
      </w:tr>
      <w:tr>
        <w:tc>
          <w:tcPr>
            <w:tcW w:type="dxa" w:w="960"/>
          </w:tcPr>
          <w:p>
            <w:r>
              <w:t>NBIS</w:t>
            </w:r>
          </w:p>
        </w:tc>
        <w:tc>
          <w:tcPr>
            <w:tcW w:type="dxa" w:w="960"/>
          </w:tcPr>
          <w:p>
            <w:r>
              <w:t>Nebius Group</w:t>
            </w:r>
          </w:p>
        </w:tc>
        <w:tc>
          <w:tcPr>
            <w:tcW w:type="dxa" w:w="960"/>
          </w:tcPr>
          <w:p>
            <w:r>
              <w:t>B 中等信号</w:t>
            </w:r>
          </w:p>
        </w:tc>
        <w:tc>
          <w:tcPr>
            <w:tcW w:type="dxa" w:w="960"/>
          </w:tcPr>
          <w:p>
            <w:r>
              <w:t>强收口：Bandwidth低于近8个月10%分位且持续8天；中轨附近窄幅震荡</w:t>
            </w:r>
          </w:p>
        </w:tc>
        <w:tc>
          <w:tcPr>
            <w:tcW w:type="dxa" w:w="960"/>
          </w:tcPr>
          <w:p>
            <w:r>
              <w:t>中轨附近</w:t>
            </w:r>
          </w:p>
        </w:tc>
        <w:tc>
          <w:tcPr>
            <w:tcW w:type="dxa" w:w="960"/>
          </w:tcPr>
          <w:p>
            <w:r>
              <w:t>19.37%</w:t>
            </w:r>
          </w:p>
        </w:tc>
        <w:tc>
          <w:tcPr>
            <w:tcW w:type="dxa" w:w="960"/>
          </w:tcPr>
          <w:p>
            <w:r>
              <w:t>0.661</w:t>
            </w:r>
          </w:p>
        </w:tc>
        <w:tc>
          <w:tcPr>
            <w:tcW w:type="dxa" w:w="960"/>
          </w:tcPr>
          <w:p>
            <w:r>
              <w:t>1.14</w:t>
            </w:r>
          </w:p>
        </w:tc>
        <w:tc>
          <w:tcPr>
            <w:tcW w:type="dxa" w:w="960"/>
          </w:tcPr>
          <w:p>
            <w:r>
              <w:t>布林带收口，说明波动率下降，股价可能处于蓄势阶段，但方向尚未确认。</w:t>
            </w:r>
          </w:p>
        </w:tc>
      </w:tr>
      <w:tr>
        <w:tc>
          <w:tcPr>
            <w:tcW w:type="dxa" w:w="960"/>
          </w:tcPr>
          <w:p>
            <w:r>
              <w:t>AMZN</w:t>
            </w:r>
          </w:p>
        </w:tc>
        <w:tc>
          <w:tcPr>
            <w:tcW w:type="dxa" w:w="960"/>
          </w:tcPr>
          <w:p>
            <w:r>
              <w:t>Amazon.com</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6.28%</w:t>
            </w:r>
          </w:p>
        </w:tc>
        <w:tc>
          <w:tcPr>
            <w:tcW w:type="dxa" w:w="960"/>
          </w:tcPr>
          <w:p>
            <w:r>
              <w:t>1.025</w:t>
            </w:r>
          </w:p>
        </w:tc>
        <w:tc>
          <w:tcPr>
            <w:tcW w:type="dxa" w:w="960"/>
          </w:tcPr>
          <w:p>
            <w:r>
              <w:t>1.00</w:t>
            </w:r>
          </w:p>
        </w:tc>
        <w:tc>
          <w:tcPr>
            <w:tcW w:type="dxa" w:w="960"/>
          </w:tcPr>
          <w:p>
            <w:r>
              <w:t>股价突破布林线上轨，但成交量确认不足，可能是假突破，需要下一交易日确认。</w:t>
            </w:r>
          </w:p>
        </w:tc>
      </w:tr>
      <w:tr>
        <w:tc>
          <w:tcPr>
            <w:tcW w:type="dxa" w:w="960"/>
          </w:tcPr>
          <w:p>
            <w:r>
              <w:t>FLY</w:t>
            </w:r>
          </w:p>
        </w:tc>
        <w:tc>
          <w:tcPr>
            <w:tcW w:type="dxa" w:w="960"/>
          </w:tcPr>
          <w:p>
            <w:r>
              <w:t>Firefly Aerospace</w:t>
            </w:r>
          </w:p>
        </w:tc>
        <w:tc>
          <w:tcPr>
            <w:tcW w:type="dxa" w:w="960"/>
          </w:tcPr>
          <w:p>
            <w:r>
              <w:t>C 观察信号</w:t>
            </w:r>
          </w:p>
        </w:tc>
        <w:tc>
          <w:tcPr>
            <w:tcW w:type="dxa" w:w="960"/>
          </w:tcPr>
          <w:p>
            <w:r>
              <w:t>强收口：Bandwidth低于近8个月10%分位且持续6天；中轨附近窄幅震荡；低位形态</w:t>
            </w:r>
          </w:p>
        </w:tc>
        <w:tc>
          <w:tcPr>
            <w:tcW w:type="dxa" w:w="960"/>
          </w:tcPr>
          <w:p>
            <w:r>
              <w:t>中轨附近</w:t>
            </w:r>
          </w:p>
        </w:tc>
        <w:tc>
          <w:tcPr>
            <w:tcW w:type="dxa" w:w="960"/>
          </w:tcPr>
          <w:p>
            <w:r>
              <w:t>20.75%</w:t>
            </w:r>
          </w:p>
        </w:tc>
        <w:tc>
          <w:tcPr>
            <w:tcW w:type="dxa" w:w="960"/>
          </w:tcPr>
          <w:p>
            <w:r>
              <w:t>0.334</w:t>
            </w:r>
          </w:p>
        </w:tc>
        <w:tc>
          <w:tcPr>
            <w:tcW w:type="dxa" w:w="960"/>
          </w:tcPr>
          <w:p>
            <w:r>
              <w:t>0.91</w:t>
            </w:r>
          </w:p>
        </w:tc>
        <w:tc>
          <w:tcPr>
            <w:tcW w:type="dxa" w:w="960"/>
          </w:tcPr>
          <w:p>
            <w:r>
              <w:t>布林带收口，说明波动率下降，股价可能处于蓄势阶段，但方向尚未确认。</w:t>
            </w:r>
          </w:p>
        </w:tc>
      </w:tr>
      <w:tr>
        <w:tc>
          <w:tcPr>
            <w:tcW w:type="dxa" w:w="960"/>
          </w:tcPr>
          <w:p>
            <w:r>
              <w:t>IONQ</w:t>
            </w:r>
          </w:p>
        </w:tc>
        <w:tc>
          <w:tcPr>
            <w:tcW w:type="dxa" w:w="960"/>
          </w:tcPr>
          <w:p>
            <w:r>
              <w:t>IonQ</w:t>
            </w:r>
          </w:p>
        </w:tc>
        <w:tc>
          <w:tcPr>
            <w:tcW w:type="dxa" w:w="960"/>
          </w:tcPr>
          <w:p>
            <w:r>
              <w:t>C 观察信号</w:t>
            </w:r>
          </w:p>
        </w:tc>
        <w:tc>
          <w:tcPr>
            <w:tcW w:type="dxa" w:w="960"/>
          </w:tcPr>
          <w:p>
            <w:r>
              <w:t>弱收口：Bandwidth连续30天维持低于近8个月30%分位；中轨附近窄幅震荡；低位形态</w:t>
            </w:r>
          </w:p>
        </w:tc>
        <w:tc>
          <w:tcPr>
            <w:tcW w:type="dxa" w:w="960"/>
          </w:tcPr>
          <w:p>
            <w:r>
              <w:t>中轨附近</w:t>
            </w:r>
          </w:p>
        </w:tc>
        <w:tc>
          <w:tcPr>
            <w:tcW w:type="dxa" w:w="960"/>
          </w:tcPr>
          <w:p>
            <w:r>
              <w:t>28.74%</w:t>
            </w:r>
          </w:p>
        </w:tc>
        <w:tc>
          <w:tcPr>
            <w:tcW w:type="dxa" w:w="960"/>
          </w:tcPr>
          <w:p>
            <w:r>
              <w:t>0.502</w:t>
            </w:r>
          </w:p>
        </w:tc>
        <w:tc>
          <w:tcPr>
            <w:tcW w:type="dxa" w:w="960"/>
          </w:tcPr>
          <w:p>
            <w:r>
              <w:t>0.81</w:t>
            </w:r>
          </w:p>
        </w:tc>
        <w:tc>
          <w:tcPr>
            <w:tcW w:type="dxa" w:w="960"/>
          </w:tcPr>
          <w:p>
            <w:r>
              <w:t>布林带收口，说明波动率下降，股价可能处于蓄势阶段，但方向尚未确认。</w:t>
            </w:r>
          </w:p>
        </w:tc>
      </w:tr>
      <w:tr>
        <w:tc>
          <w:tcPr>
            <w:tcW w:type="dxa" w:w="960"/>
          </w:tcPr>
          <w:p>
            <w:r>
              <w:t>AVGO</w:t>
            </w:r>
          </w:p>
        </w:tc>
        <w:tc>
          <w:tcPr>
            <w:tcW w:type="dxa" w:w="960"/>
          </w:tcPr>
          <w:p>
            <w:r>
              <w:t>Broadcom Inc.</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11.37%</w:t>
            </w:r>
          </w:p>
        </w:tc>
        <w:tc>
          <w:tcPr>
            <w:tcW w:type="dxa" w:w="960"/>
          </w:tcPr>
          <w:p>
            <w:r>
              <w:t>1.025</w:t>
            </w:r>
          </w:p>
        </w:tc>
        <w:tc>
          <w:tcPr>
            <w:tcW w:type="dxa" w:w="960"/>
          </w:tcPr>
          <w:p>
            <w:r>
              <w:t>0.75</w:t>
            </w:r>
          </w:p>
        </w:tc>
        <w:tc>
          <w:tcPr>
            <w:tcW w:type="dxa" w:w="960"/>
          </w:tcPr>
          <w:p>
            <w:r>
              <w:t>股价突破布林线上轨，但成交量确认不足，可能是假突破，需要下一交易日确认。</w:t>
            </w:r>
          </w:p>
        </w:tc>
      </w:tr>
      <w:tr>
        <w:tc>
          <w:tcPr>
            <w:tcW w:type="dxa" w:w="960"/>
          </w:tcPr>
          <w:p>
            <w:r>
              <w:t>CRWV</w:t>
            </w:r>
          </w:p>
        </w:tc>
        <w:tc>
          <w:tcPr>
            <w:tcW w:type="dxa" w:w="960"/>
          </w:tcPr>
          <w:p>
            <w:r>
              <w:t>CoreWeave</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14.67%</w:t>
            </w:r>
          </w:p>
        </w:tc>
        <w:tc>
          <w:tcPr>
            <w:tcW w:type="dxa" w:w="960"/>
          </w:tcPr>
          <w:p>
            <w:r>
              <w:t>0.665</w:t>
            </w:r>
          </w:p>
        </w:tc>
        <w:tc>
          <w:tcPr>
            <w:tcW w:type="dxa" w:w="960"/>
          </w:tcPr>
          <w:p>
            <w:r>
              <w:t>0.67</w:t>
            </w:r>
          </w:p>
        </w:tc>
        <w:tc>
          <w:tcPr>
            <w:tcW w:type="dxa" w:w="960"/>
          </w:tcPr>
          <w:p>
            <w:r>
              <w:t>布林带收口，说明波动率下降，股价可能处于蓄势阶段，但方向尚未确认。</w:t>
            </w:r>
          </w:p>
        </w:tc>
      </w:tr>
    </w:tbl>
    <w:p>
      <w:pPr>
        <w:pStyle w:val="Heading2"/>
      </w:pPr>
      <w:r>
        <w:t>二、重点结论</w:t>
      </w:r>
    </w:p>
    <w:p>
      <w:pPr>
        <w:pStyle w:val="ListBullet"/>
      </w:pPr>
      <w:r>
        <w:t>强信号：AAOI。</w:t>
      </w:r>
    </w:p>
    <w:p>
      <w:pPr>
        <w:pStyle w:val="ListBullet"/>
      </w:pPr>
      <w:r>
        <w:t>中等信号：LUNR, NBIS。</w:t>
      </w:r>
    </w:p>
    <w:p>
      <w:pPr>
        <w:pStyle w:val="ListBullet"/>
      </w:pPr>
      <w:r>
        <w:t>观察信号：AMZN, FLY, IONQ, AVGO, CRWV。</w:t>
      </w:r>
    </w:p>
    <w:p>
      <w:pPr>
        <w:pStyle w:val="ListBullet"/>
      </w:pPr>
      <w:r>
        <w:t>今日优先复核：AAOI, LUNR, NBIS, AMZN, FLY。优先看是否放量、能否站稳上轨或中轨。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AAOI - Applied Optoelectronics</w:t>
      </w:r>
    </w:p>
    <w:p>
      <w:pPr>
        <w:pStyle w:val="ListBullet"/>
      </w:pPr>
      <w:r>
        <w:t>信号等级：A 强信号</w:t>
      </w:r>
    </w:p>
    <w:p>
      <w:pPr>
        <w:pStyle w:val="ListBullet"/>
      </w:pPr>
      <w:r>
        <w:t>最新收盘价：$122.54</w:t>
      </w:r>
    </w:p>
    <w:p>
      <w:pPr>
        <w:pStyle w:val="ListBullet"/>
      </w:pPr>
      <w:r>
        <w:t>BOLL：上轨 $124.63；中轨 $105.64；下轨 $86.64</w:t>
      </w:r>
    </w:p>
    <w:p>
      <w:pPr>
        <w:pStyle w:val="ListBullet"/>
      </w:pPr>
      <w:r>
        <w:t>Bandwidth：35.96%；历史分位：20.24%；%B：0.945</w:t>
      </w:r>
    </w:p>
    <w:p>
      <w:pPr>
        <w:pStyle w:val="ListBullet"/>
      </w:pPr>
      <w:r>
        <w:t>成交量：当日 10709500；20日均量 7912170；量比 1.35</w:t>
      </w:r>
    </w:p>
    <w:p>
      <w:pPr>
        <w:pStyle w:val="ListBullet"/>
      </w:pPr>
      <w:r>
        <w:t>触发信号：布林带向上开口（最近5天）；成交量放大；中轨反弹并接近上轨；成交量放大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LUNR - Intuitive Machines</w:t>
      </w:r>
    </w:p>
    <w:p>
      <w:pPr>
        <w:pStyle w:val="ListBullet"/>
      </w:pPr>
      <w:r>
        <w:t>信号等级：B 中等信号</w:t>
      </w:r>
    </w:p>
    <w:p>
      <w:pPr>
        <w:pStyle w:val="ListBullet"/>
      </w:pPr>
      <w:r>
        <w:t>最新收盘价：$14.41</w:t>
      </w:r>
    </w:p>
    <w:p>
      <w:pPr>
        <w:pStyle w:val="ListBullet"/>
      </w:pPr>
      <w:r>
        <w:t>BOLL：上轨 $16.10；中轨 $14.72；下轨 $13.33</w:t>
      </w:r>
    </w:p>
    <w:p>
      <w:pPr>
        <w:pStyle w:val="ListBullet"/>
      </w:pPr>
      <w:r>
        <w:t>Bandwidth：18.84%；历史分位：7.74%；%B：0.390</w:t>
      </w:r>
    </w:p>
    <w:p>
      <w:pPr>
        <w:pStyle w:val="ListBullet"/>
      </w:pPr>
      <w:r>
        <w:t>成交量：当日 9982000；20日均量 8238605；量比 1.21</w:t>
      </w:r>
    </w:p>
    <w:p>
      <w:pPr>
        <w:pStyle w:val="ListBullet"/>
      </w:pPr>
      <w:r>
        <w:t>触发信号：中等收口：Bandwidth低于近8个月20%分位且持续13天；中轨附近窄幅震荡；接近突破中轨；低位形态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NBIS - Nebius Group</w:t>
      </w:r>
    </w:p>
    <w:p>
      <w:pPr>
        <w:pStyle w:val="ListBullet"/>
      </w:pPr>
      <w:r>
        <w:t>信号等级：B 中等信号</w:t>
      </w:r>
    </w:p>
    <w:p>
      <w:pPr>
        <w:pStyle w:val="ListBullet"/>
      </w:pPr>
      <w:r>
        <w:t>最新收盘价：$237.15</w:t>
      </w:r>
    </w:p>
    <w:p>
      <w:pPr>
        <w:pStyle w:val="ListBullet"/>
      </w:pPr>
      <w:r>
        <w:t>BOLL：上轨 $252.24；中轨 $229.96；下轨 $207.69</w:t>
      </w:r>
    </w:p>
    <w:p>
      <w:pPr>
        <w:pStyle w:val="ListBullet"/>
      </w:pPr>
      <w:r>
        <w:t>Bandwidth：19.37%；历史分位：1.79%；%B：0.661</w:t>
      </w:r>
    </w:p>
    <w:p>
      <w:pPr>
        <w:pStyle w:val="ListBullet"/>
      </w:pPr>
      <w:r>
        <w:t>成交量：当日 17923600；20日均量 15672070；量比 1.14</w:t>
      </w:r>
    </w:p>
    <w:p>
      <w:pPr>
        <w:pStyle w:val="ListBullet"/>
      </w:pPr>
      <w:r>
        <w:t>触发信号：强收口：Bandwidth低于近8个月10%分位且持续8天；中轨附近窄幅震荡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AMZN - Amazon.com</w:t>
      </w:r>
    </w:p>
    <w:p>
      <w:pPr>
        <w:pStyle w:val="ListBullet"/>
      </w:pPr>
      <w:r>
        <w:t>信号等级：C 观察信号</w:t>
      </w:r>
    </w:p>
    <w:p>
      <w:pPr>
        <w:pStyle w:val="ListBullet"/>
      </w:pPr>
      <w:r>
        <w:t>最新收盘价：$259.92</w:t>
      </w:r>
    </w:p>
    <w:p>
      <w:pPr>
        <w:pStyle w:val="ListBullet"/>
      </w:pPr>
      <w:r>
        <w:t>BOLL：上轨 $259.53；中轨 $251.63；下轨 $243.73</w:t>
      </w:r>
    </w:p>
    <w:p>
      <w:pPr>
        <w:pStyle w:val="ListBullet"/>
      </w:pPr>
      <w:r>
        <w:t>Bandwidth：6.28%；历史分位：7.14%；%B：1.025</w:t>
      </w:r>
    </w:p>
    <w:p>
      <w:pPr>
        <w:pStyle w:val="ListBullet"/>
      </w:pPr>
      <w:r>
        <w:t>成交量：当日 36140700；20日均量 35998360；量比 1.00</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FLY - Firefly Aerospace</w:t>
      </w:r>
    </w:p>
    <w:p>
      <w:pPr>
        <w:pStyle w:val="ListBullet"/>
      </w:pPr>
      <w:r>
        <w:t>信号等级：C 观察信号</w:t>
      </w:r>
    </w:p>
    <w:p>
      <w:pPr>
        <w:pStyle w:val="ListBullet"/>
      </w:pPr>
      <w:r>
        <w:t>最新收盘价：$21.51</w:t>
      </w:r>
    </w:p>
    <w:p>
      <w:pPr>
        <w:pStyle w:val="ListBullet"/>
      </w:pPr>
      <w:r>
        <w:t>BOLL：上轨 $24.59；中轨 $22.28；下轨 $19.97</w:t>
      </w:r>
    </w:p>
    <w:p>
      <w:pPr>
        <w:pStyle w:val="ListBullet"/>
      </w:pPr>
      <w:r>
        <w:t>Bandwidth：20.75%；历史分位：7.74%；%B：0.334</w:t>
      </w:r>
    </w:p>
    <w:p>
      <w:pPr>
        <w:pStyle w:val="ListBullet"/>
      </w:pPr>
      <w:r>
        <w:t>成交量：当日 3169000；20日均量 3490885；量比 0.91</w:t>
      </w:r>
    </w:p>
    <w:p>
      <w:pPr>
        <w:pStyle w:val="ListBullet"/>
      </w:pPr>
      <w:r>
        <w:t>触发信号：强收口：Bandwidth低于近8个月10%分位且持续6天；中轨附近窄幅震荡；低位形态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IONQ - IonQ</w:t>
      </w:r>
    </w:p>
    <w:p>
      <w:pPr>
        <w:pStyle w:val="ListBullet"/>
      </w:pPr>
      <w:r>
        <w:t>信号等级：C 观察信号</w:t>
      </w:r>
    </w:p>
    <w:p>
      <w:pPr>
        <w:pStyle w:val="ListBullet"/>
      </w:pPr>
      <w:r>
        <w:t>最新收盘价：$41.34</w:t>
      </w:r>
    </w:p>
    <w:p>
      <w:pPr>
        <w:pStyle w:val="ListBullet"/>
      </w:pPr>
      <w:r>
        <w:t>BOLL：上轨 $47.26；中轨 $41.32；下轨 $35.38</w:t>
      </w:r>
    </w:p>
    <w:p>
      <w:pPr>
        <w:pStyle w:val="ListBullet"/>
      </w:pPr>
      <w:r>
        <w:t>Bandwidth：28.74%；历史分位：17.26%；%B：0.502</w:t>
      </w:r>
    </w:p>
    <w:p>
      <w:pPr>
        <w:pStyle w:val="ListBullet"/>
      </w:pPr>
      <w:r>
        <w:t>成交量：当日 18903000；20日均量 23436640；量比 0.81</w:t>
      </w:r>
    </w:p>
    <w:p>
      <w:pPr>
        <w:pStyle w:val="ListBullet"/>
      </w:pPr>
      <w:r>
        <w:t>触发信号：弱收口：Bandwidth连续30天维持低于近8个月30%分位；中轨附近窄幅震荡；低位形态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AVGO - Broadcom Inc.</w:t>
      </w:r>
    </w:p>
    <w:p>
      <w:pPr>
        <w:pStyle w:val="ListBullet"/>
      </w:pPr>
      <w:r>
        <w:t>信号等级：C 观察信号</w:t>
      </w:r>
    </w:p>
    <w:p>
      <w:pPr>
        <w:pStyle w:val="ListBullet"/>
      </w:pPr>
      <w:r>
        <w:t>最新收盘价：$376.51</w:t>
      </w:r>
    </w:p>
    <w:p>
      <w:pPr>
        <w:pStyle w:val="ListBullet"/>
      </w:pPr>
      <w:r>
        <w:t>BOLL：上轨 $375.51；中轨 $355.30；下轨 $335.10</w:t>
      </w:r>
    </w:p>
    <w:p>
      <w:pPr>
        <w:pStyle w:val="ListBullet"/>
      </w:pPr>
      <w:r>
        <w:t>Bandwidth：11.37%；历史分位：35.12%；%B：1.025</w:t>
      </w:r>
    </w:p>
    <w:p>
      <w:pPr>
        <w:pStyle w:val="ListBullet"/>
      </w:pPr>
      <w:r>
        <w:t>成交量：当日 17993800；20日均量 24091260；量比 0.75</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CRWV - CoreWeave</w:t>
      </w:r>
    </w:p>
    <w:p>
      <w:pPr>
        <w:pStyle w:val="ListBullet"/>
      </w:pPr>
      <w:r>
        <w:t>信号等级：C 观察信号</w:t>
      </w:r>
    </w:p>
    <w:p>
      <w:pPr>
        <w:pStyle w:val="ListBullet"/>
      </w:pPr>
      <w:r>
        <w:t>最新收盘价：$88.45</w:t>
      </w:r>
    </w:p>
    <w:p>
      <w:pPr>
        <w:pStyle w:val="ListBullet"/>
      </w:pPr>
      <w:r>
        <w:t>BOLL：上轨 $92.70；中轨 $86.36；下轨 $80.03</w:t>
      </w:r>
    </w:p>
    <w:p>
      <w:pPr>
        <w:pStyle w:val="ListBullet"/>
      </w:pPr>
      <w:r>
        <w:t>Bandwidth：14.67%；历史分位：0.60%；%B：0.665</w:t>
      </w:r>
    </w:p>
    <w:p>
      <w:pPr>
        <w:pStyle w:val="ListBullet"/>
      </w:pPr>
      <w:r>
        <w:t>成交量：当日 19821700；20日均量 29510125；量比 0.67</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ARM（Arm Holdings）, OPTX（Syntec Optics Holdings）, GLW（Corning）, COHR（Coherent）, LITE（Lumentum Holdings）, MRVL（Marvell Technology）, INTC（Intel）, ALAB（Astera Labs）, ORCL（Oracle）, NVTS（Navitas Semiconductor）, POET（POET Technologies）, DELL（Dell Technologies）, BB（BlackBerry）, ONDS（Ondas Holdings）, SMR（NuScale Power）, OKLO（Oklo）, QBTS（D-Wave Quantum）, NVDA（NVIDIA）, AMD（Advanced Micro Devices）, CRCL（Circle Internet Group）, CBRS（Chain Bridge Bancorp）, SIVEF（Sivers Semiconductors）, SHAZ（Shaz）, ASTS（AST SpaceMobile）, SPCX（Space Exploration Technologies）, RDW（Redwire Corporation）, QCOM（QUALCOMM Incorporated）, COIN（Coinbase Global, Inc.）, VELO（Velo3D, Inc.）, MSFT（Microsoft Corporation）, GOOG（Alphabet Inc.）, AMAT（Applied Materials, Inc.）, AMKR（Amkor Technology, Inc.）, LRCX（Lam Research Corporation）, SNDK（Sandisk Corporation）, MU（Micron Technology, Inc.）, TSLA（Tesla, Inc.）, PLTR（Palantir Technologies Inc.）, IBM（International Business Machines）, FORM（FormFactor, Inc.）, MXL（MaxLinear, Inc）, MRNA（Moderna, Inc.）, BE（Bloom Energy Corporation）</w:t>
      </w:r>
    </w:p>
    <w:p>
      <w:r>
        <w:br w:type="page"/>
      </w:r>
    </w:p>
    <w:p>
      <w:pPr>
        <w:pStyle w:val="Heading2"/>
      </w:pPr>
      <w:r>
        <w:t>六、触发股票 BOLL 图表</w:t>
      </w:r>
    </w:p>
    <w:p>
      <w:pPr>
        <w:pStyle w:val="Heading3"/>
      </w:pPr>
      <w:r>
        <w:t>AAOI - Applied Optoelectronics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AAOI_BOLL.png"/>
                    <pic:cNvPicPr/>
                  </pic:nvPicPr>
                  <pic:blipFill>
                    <a:blip r:embed="rId9"/>
                    <a:stretch>
                      <a:fillRect/>
                    </a:stretch>
                  </pic:blipFill>
                  <pic:spPr>
                    <a:xfrm>
                      <a:off x="0" y="0"/>
                      <a:ext cx="6035040" cy="4054793"/>
                    </a:xfrm>
                    <a:prstGeom prst="rect"/>
                  </pic:spPr>
                </pic:pic>
              </a:graphicData>
            </a:graphic>
          </wp:inline>
        </w:drawing>
      </w:r>
    </w:p>
    <w:p>
      <w:pPr>
        <w:pStyle w:val="Heading3"/>
      </w:pPr>
      <w:r>
        <w:t>LUNR - Intuitive Machines</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LUNR_BOLL.png"/>
                    <pic:cNvPicPr/>
                  </pic:nvPicPr>
                  <pic:blipFill>
                    <a:blip r:embed="rId10"/>
                    <a:stretch>
                      <a:fillRect/>
                    </a:stretch>
                  </pic:blipFill>
                  <pic:spPr>
                    <a:xfrm>
                      <a:off x="0" y="0"/>
                      <a:ext cx="6035040" cy="4054793"/>
                    </a:xfrm>
                    <a:prstGeom prst="rect"/>
                  </pic:spPr>
                </pic:pic>
              </a:graphicData>
            </a:graphic>
          </wp:inline>
        </w:drawing>
      </w:r>
    </w:p>
    <w:p>
      <w:pPr>
        <w:pStyle w:val="Heading3"/>
      </w:pPr>
      <w:r>
        <w:t>NBIS - Nebius Group</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NBIS_BOLL.png"/>
                    <pic:cNvPicPr/>
                  </pic:nvPicPr>
                  <pic:blipFill>
                    <a:blip r:embed="rId11"/>
                    <a:stretch>
                      <a:fillRect/>
                    </a:stretch>
                  </pic:blipFill>
                  <pic:spPr>
                    <a:xfrm>
                      <a:off x="0" y="0"/>
                      <a:ext cx="6035040" cy="4054793"/>
                    </a:xfrm>
                    <a:prstGeom prst="rect"/>
                  </pic:spPr>
                </pic:pic>
              </a:graphicData>
            </a:graphic>
          </wp:inline>
        </w:drawing>
      </w:r>
    </w:p>
    <w:p>
      <w:pPr>
        <w:pStyle w:val="Heading3"/>
      </w:pPr>
      <w:r>
        <w:t>AMZN - Amazon.com</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AMZN_BOLL.png"/>
                    <pic:cNvPicPr/>
                  </pic:nvPicPr>
                  <pic:blipFill>
                    <a:blip r:embed="rId12"/>
                    <a:stretch>
                      <a:fillRect/>
                    </a:stretch>
                  </pic:blipFill>
                  <pic:spPr>
                    <a:xfrm>
                      <a:off x="0" y="0"/>
                      <a:ext cx="6035040" cy="4054793"/>
                    </a:xfrm>
                    <a:prstGeom prst="rect"/>
                  </pic:spPr>
                </pic:pic>
              </a:graphicData>
            </a:graphic>
          </wp:inline>
        </w:drawing>
      </w:r>
    </w:p>
    <w:p>
      <w:pPr>
        <w:pStyle w:val="Heading3"/>
      </w:pPr>
      <w:r>
        <w:t>FLY - Firefly Aerospace</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FLY_BOLL.png"/>
                    <pic:cNvPicPr/>
                  </pic:nvPicPr>
                  <pic:blipFill>
                    <a:blip r:embed="rId13"/>
                    <a:stretch>
                      <a:fillRect/>
                    </a:stretch>
                  </pic:blipFill>
                  <pic:spPr>
                    <a:xfrm>
                      <a:off x="0" y="0"/>
                      <a:ext cx="6035040" cy="4054793"/>
                    </a:xfrm>
                    <a:prstGeom prst="rect"/>
                  </pic:spPr>
                </pic:pic>
              </a:graphicData>
            </a:graphic>
          </wp:inline>
        </w:drawing>
      </w:r>
    </w:p>
    <w:p>
      <w:pPr>
        <w:pStyle w:val="Heading3"/>
      </w:pPr>
      <w:r>
        <w:t>IONQ - IonQ</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IONQ_BOLL.png"/>
                    <pic:cNvPicPr/>
                  </pic:nvPicPr>
                  <pic:blipFill>
                    <a:blip r:embed="rId14"/>
                    <a:stretch>
                      <a:fillRect/>
                    </a:stretch>
                  </pic:blipFill>
                  <pic:spPr>
                    <a:xfrm>
                      <a:off x="0" y="0"/>
                      <a:ext cx="6035040" cy="4054793"/>
                    </a:xfrm>
                    <a:prstGeom prst="rect"/>
                  </pic:spPr>
                </pic:pic>
              </a:graphicData>
            </a:graphic>
          </wp:inline>
        </w:drawing>
      </w:r>
    </w:p>
    <w:p>
      <w:pPr>
        <w:pStyle w:val="Heading3"/>
      </w:pPr>
      <w:r>
        <w:t>AVGO - Broadcom Inc.</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AVGO_BOLL.png"/>
                    <pic:cNvPicPr/>
                  </pic:nvPicPr>
                  <pic:blipFill>
                    <a:blip r:embed="rId15"/>
                    <a:stretch>
                      <a:fillRect/>
                    </a:stretch>
                  </pic:blipFill>
                  <pic:spPr>
                    <a:xfrm>
                      <a:off x="0" y="0"/>
                      <a:ext cx="6035040" cy="4054793"/>
                    </a:xfrm>
                    <a:prstGeom prst="rect"/>
                  </pic:spPr>
                </pic:pic>
              </a:graphicData>
            </a:graphic>
          </wp:inline>
        </w:drawing>
      </w:r>
    </w:p>
    <w:p>
      <w:pPr>
        <w:pStyle w:val="Heading3"/>
      </w:pPr>
      <w:r>
        <w:t>CRWV - CoreWeave</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CRWV_BOLL.png"/>
                    <pic:cNvPicPr/>
                  </pic:nvPicPr>
                  <pic:blipFill>
                    <a:blip r:embed="rId16"/>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