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报告日期：2026-09-08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上升趋势(10)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正常波动</w:t>
            </w:r>
          </w:p>
        </w:tc>
        <w:tc>
          <w:tcPr>
            <w:tcW w:type="dxa" w:w="1440"/>
          </w:tcPr>
          <w:p>
            <w:r>
              <w:t>96.18</w:t>
            </w:r>
          </w:p>
        </w:tc>
        <w:tc>
          <w:tcPr>
            <w:tcW w:type="dxa" w:w="1440"/>
          </w:tcPr>
          <w:p>
            <w:r>
              <w:t>KDJ死叉；RSI短线死叉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趋势修复/震荡偏强(6)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7.76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66.12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上升趋势(9)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正常波动</w:t>
            </w:r>
          </w:p>
        </w:tc>
        <w:tc>
          <w:tcPr>
            <w:tcW w:type="dxa" w:w="1440"/>
          </w:tcPr>
          <w:p>
            <w:r>
              <w:t>99.83</w:t>
            </w:r>
          </w:p>
        </w:tc>
        <w:tc>
          <w:tcPr>
            <w:tcW w:type="dxa" w:w="1440"/>
          </w:tcPr>
          <w:p>
            <w:r>
              <w:t>暂无明显技术风险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22.90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111.55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15.68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7.62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当前价格：96.18</w:t>
      </w:r>
    </w:p>
    <w:p>
      <w:r>
        <w:t>趋势过滤：上升趋势；上升趋势评分：10</w:t>
      </w:r>
    </w:p>
    <w:p>
      <w:r>
        <w:t>当前状态：健康上涨或正常波动</w:t>
      </w:r>
    </w:p>
    <w:p>
      <w:r>
        <w:t>风险评分：总分 2；风险等级：正常波动</w:t>
      </w:r>
    </w:p>
    <w:p>
      <w:r>
        <w:t>技术指标：</w:t>
      </w:r>
    </w:p>
    <w:p>
      <w:pPr>
        <w:pStyle w:val="ListBullet"/>
      </w:pPr>
      <w:r>
        <w:t>MACD状态：MACD暂无明显转弱</w:t>
      </w:r>
    </w:p>
    <w:p>
      <w:pPr>
        <w:pStyle w:val="ListBullet"/>
      </w:pPr>
      <w:r>
        <w:t>KDJ状态：KDJ死叉</w:t>
      </w:r>
    </w:p>
    <w:p>
      <w:pPr>
        <w:pStyle w:val="ListBullet"/>
      </w:pPr>
      <w:r>
        <w:t>RSI：RSI6=56.8；RSI12=60.6；RSI24=58.2；RSI6跌破RSI12</w:t>
      </w:r>
    </w:p>
    <w:p>
      <w:pPr>
        <w:pStyle w:val="ListBullet"/>
      </w:pPr>
      <w:r>
        <w:t>MA20/50/200：MA20=85.61；MA50=72.93；MA200=85.20；均线结构暂无明显风险</w:t>
      </w:r>
    </w:p>
    <w:p>
      <w:pPr>
        <w:pStyle w:val="ListBullet"/>
      </w:pPr>
      <w:r>
        <w:t>成交量变化：Volume/MA20=0.84倍；成交量为20日均量的0.84倍</w:t>
      </w:r>
    </w:p>
    <w:p>
      <w:r>
        <w:t>主要风险来源：</w:t>
      </w:r>
    </w:p>
    <w:p>
      <w:pPr>
        <w:pStyle w:val="ListBullet"/>
      </w:pPr>
      <w:r>
        <w:t>KDJ死叉</w:t>
      </w:r>
    </w:p>
    <w:p>
      <w:pPr>
        <w:pStyle w:val="ListBullet"/>
      </w:pPr>
      <w:r>
        <w:t>RSI短线死叉</w:t>
      </w:r>
    </w:p>
    <w:p>
      <w:r>
        <w:t>判断：健康上涨或正常波动。MACD暂无明显转弱；KDJ死叉；RSI6跌破RSI12。</w:t>
      </w:r>
    </w:p>
    <w:p>
      <w:r>
        <w:t>建议观察位置：当前价格 96.18；MA20 85.61；MA50 72.93；MA200 85.20。若后续有效跌破MA50，趋势进一步恶化的概率上升。</w:t>
      </w:r>
    </w:p>
    <w:p>
      <w:pPr>
        <w:pStyle w:val="Heading3"/>
      </w:pPr>
      <w:r>
        <w:t>OPTX</w:t>
      </w:r>
    </w:p>
    <w:p>
      <w:r>
        <w:t>当前价格：7.76</w:t>
      </w:r>
    </w:p>
    <w:p>
      <w:r>
        <w:t>趋势过滤：趋势修复/震荡偏强；上升趋势评分：6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RSI：RSI6=44.9；RSI12=46.1；RSI24=47.0；未进入过热见顶评分</w:t>
      </w:r>
    </w:p>
    <w:p>
      <w:pPr>
        <w:pStyle w:val="ListBullet"/>
      </w:pPr>
      <w:r>
        <w:t>MA20/50/200：MA20=8.31；MA50=8.29；MA200=7.19；MA20高于MA50；收盘价站上MA200；MA50高于MA200；MA20斜率向上；近20日收益为正</w:t>
      </w:r>
    </w:p>
    <w:p>
      <w:pPr>
        <w:pStyle w:val="ListBullet"/>
      </w:pPr>
      <w:r>
        <w:t>成交量变化：Volume/MA20=1.06倍；成交量为20日均量的1.06倍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7.76；MA20 8.31；MA50 8.29；MA200 7.19。若后续有效跌破MA50，趋势进一步恶化的概率上升。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当前价格：66.12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RSI：RSI6=64.1；RSI12=53.9；RSI24=49.1；未进入过热见顶评分</w:t>
      </w:r>
    </w:p>
    <w:p>
      <w:pPr>
        <w:pStyle w:val="ListBullet"/>
      </w:pPr>
      <w:r>
        <w:t>MA20/50/200：MA20=64.92；MA50=66.63；MA200=81.44；收盘价站上MA20</w:t>
      </w:r>
    </w:p>
    <w:p>
      <w:pPr>
        <w:pStyle w:val="ListBullet"/>
      </w:pPr>
      <w:r>
        <w:t>成交量变化：Volume/MA20=1.22倍；成交量为20日均量的1.22倍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66.12；MA20 64.92；MA50 66.63；MA200 81.44。若后续有效跌破MA50，趋势进一步恶化的概率上升。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当前价格：99.83</w:t>
      </w:r>
    </w:p>
    <w:p>
      <w:r>
        <w:t>趋势过滤：上升趋势；上升趋势评分：9</w:t>
      </w:r>
    </w:p>
    <w:p>
      <w:r>
        <w:t>当前状态：健康上涨或正常波动</w:t>
      </w:r>
    </w:p>
    <w:p>
      <w:r>
        <w:t>风险评分：总分 0；风险等级：正常波动</w:t>
      </w:r>
    </w:p>
    <w:p>
      <w:r>
        <w:t>技术指标：</w:t>
      </w:r>
    </w:p>
    <w:p>
      <w:pPr>
        <w:pStyle w:val="ListBullet"/>
      </w:pPr>
      <w:r>
        <w:t>MACD状态：MACD暂无明显转弱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RSI：RSI6=77.4；RSI12=63.6；RSI24=55.6；RSI暂无明显风险</w:t>
      </w:r>
    </w:p>
    <w:p>
      <w:pPr>
        <w:pStyle w:val="ListBullet"/>
      </w:pPr>
      <w:r>
        <w:t>MA20/50/200：MA20=91.60；MA50=85.68；MA200=91.60；均线结构暂无明显风险</w:t>
      </w:r>
    </w:p>
    <w:p>
      <w:pPr>
        <w:pStyle w:val="ListBullet"/>
      </w:pPr>
      <w:r>
        <w:t>成交量变化：Volume/MA20=1.78倍；成交量为20日均量的1.78倍</w:t>
      </w:r>
    </w:p>
    <w:p>
      <w:r>
        <w:t>主要风险来源：</w:t>
      </w:r>
    </w:p>
    <w:p>
      <w:pPr>
        <w:pStyle w:val="ListBullet"/>
      </w:pPr>
      <w:r>
        <w:t>暂无明显技术风险</w:t>
      </w:r>
    </w:p>
    <w:p>
      <w:r>
        <w:t>判断：健康上涨或正常波动。MACD暂无明显转弱；KDJ暂无明显风险；RSI暂无明显风险。</w:t>
      </w:r>
    </w:p>
    <w:p>
      <w:r>
        <w:t>建议观察位置：当前价格 99.83；MA20 91.60；MA50 85.68；MA200 91.60。若后续有效跌破MA50，趋势进一步恶化的概率上升。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数据提示：历史数据不足300个交易日，当前仅273个交易日；部分长期均线可能为空。</w:t>
      </w:r>
    </w:p>
    <w:p>
      <w:r>
        <w:t>当前价格：22.90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RSI：RSI6=62.0；RSI12=50.5；RSI24=46.6；未进入过热见顶评分</w:t>
      </w:r>
    </w:p>
    <w:p>
      <w:pPr>
        <w:pStyle w:val="ListBullet"/>
      </w:pPr>
      <w:r>
        <w:t>MA20/50/200：MA20=23.63；MA50=23.28；MA200=27.55；MA20高于MA50</w:t>
      </w:r>
    </w:p>
    <w:p>
      <w:pPr>
        <w:pStyle w:val="ListBullet"/>
      </w:pPr>
      <w:r>
        <w:t>成交量变化：Volume/MA20=1.16倍；成交量为20日均量的1.16倍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22.90；MA20 23.63；MA50 23.28；MA200 27.55。若后续有效跌破MA50，趋势进一步恶化的概率上升。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当前价格：111.55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RSI：RSI6=53.3；RSI12=47.6；RSI24=47.2；未进入过热见顶评分</w:t>
      </w:r>
    </w:p>
    <w:p>
      <w:pPr>
        <w:pStyle w:val="ListBullet"/>
      </w:pPr>
      <w:r>
        <w:t>MA20/50/200：MA20=120.05；MA50=117.15；MA200=101.96；MA20高于MA50；收盘价站上MA200；MA50高于MA200</w:t>
      </w:r>
    </w:p>
    <w:p>
      <w:pPr>
        <w:pStyle w:val="ListBullet"/>
      </w:pPr>
      <w:r>
        <w:t>成交量变化：Volume/MA20=1.28倍；成交量为20日均量的1.28倍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111.55；MA20 120.05；MA50 117.15；MA200 101.96。若后续有效跌破MA50，趋势进一步恶化的概率上升。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当前价格：15.68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RSI：RSI6=51.4；RSI12=47.4；RSI24=45.6；未进入过热见顶评分</w:t>
      </w:r>
    </w:p>
    <w:p>
      <w:pPr>
        <w:pStyle w:val="ListBullet"/>
      </w:pPr>
      <w:r>
        <w:t>MA20/50/200：MA20=16.78；MA50=15.91；MA200=19.81；MA20高于MA50；MA20斜率向上</w:t>
      </w:r>
    </w:p>
    <w:p>
      <w:pPr>
        <w:pStyle w:val="ListBullet"/>
      </w:pPr>
      <w:r>
        <w:t>成交量变化：Volume/MA20=0.88倍；成交量为20日均量的0.88倍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15.68；MA20 16.78；MA50 15.91；MA200 19.81。若后续有效跌破MA50，趋势进一步恶化的概率上升。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当前价格：7.62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RSI：RSI6=40.2；RSI12=42.6；RSI24=45.5；未进入过热见顶评分</w:t>
      </w:r>
    </w:p>
    <w:p>
      <w:pPr>
        <w:pStyle w:val="ListBullet"/>
      </w:pPr>
      <w:r>
        <w:t>MA20/50/200：MA20=8.41；MA50=8.02；MA200=9.52；MA20高于MA50</w:t>
      </w:r>
    </w:p>
    <w:p>
      <w:pPr>
        <w:pStyle w:val="ListBullet"/>
      </w:pPr>
      <w:r>
        <w:t>成交量变化：Volume/MA20=0.63倍；成交量为20日均量的0.63倍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7.62；MA20 8.41；MA50 8.02；MA200 9.52。若后续有效跌破MA50，趋势进一步恶化的概率上升。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