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报告日期：2026-09-16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80.45</w:t>
            </w:r>
          </w:p>
        </w:tc>
        <w:tc>
          <w:tcPr>
            <w:tcW w:type="dxa" w:w="1440"/>
          </w:tcPr>
          <w:p>
            <w:r>
              <w:t>RSI多头结构破坏；RSI12跌破50；跌破20日均线；跌破200日均线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6.37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59.27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83.35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20.28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96.74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13.87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7.20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当前价格：80.45</w:t>
      </w:r>
    </w:p>
    <w:p>
      <w:r>
        <w:t>趋势过滤：上升趋势；上升趋势评分：8</w:t>
      </w:r>
    </w:p>
    <w:p>
      <w:r>
        <w:t>当前状态：趋势转弱</w:t>
      </w:r>
    </w:p>
    <w:p>
      <w:r>
        <w:t>风险评分：总分 8；风险等级：明显下跌风险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RSI：RSI6=32.9；RSI12=43.8；RSI24=48.7；RSI空头排列；RSI12跌破50</w:t>
      </w:r>
    </w:p>
    <w:p>
      <w:pPr>
        <w:pStyle w:val="ListBullet"/>
      </w:pPr>
      <w:r>
        <w:t>MA20/50/200：MA20=90.72；MA50=75.72；MA200=85.78；跌破MA20；跌破MA200</w:t>
      </w:r>
    </w:p>
    <w:p>
      <w:pPr>
        <w:pStyle w:val="ListBullet"/>
      </w:pPr>
      <w:r>
        <w:t>成交量变化：Volume/MA20=1.52倍；放量下跌</w:t>
      </w:r>
    </w:p>
    <w:p>
      <w:r>
        <w:t>主要风险来源：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pPr>
        <w:pStyle w:val="ListBullet"/>
      </w:pPr>
      <w:r>
        <w:t>放量下跌</w:t>
      </w:r>
    </w:p>
    <w:p>
      <w:r>
        <w:t>判断：趋势转弱。MACD暂无明显转弱；KDJ暂无明显风险；RSI空头排列；RSI12跌破50。</w:t>
      </w:r>
    </w:p>
    <w:p>
      <w:r>
        <w:t>建议观察位置：当前价格 80.45；MA20 90.72；MA50 75.72；MA200 85.78。若后续有效跌破MA50，趋势进一步恶化的概率上升。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当前价格：6.37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RSI：RSI6=23.3；RSI12=33.3；RSI24=41.0；未进入过热见顶评分</w:t>
      </w:r>
    </w:p>
    <w:p>
      <w:pPr>
        <w:pStyle w:val="ListBullet"/>
      </w:pPr>
      <w:r>
        <w:t>MA20/50/200：MA20=7.76；MA50=7.81；MA200=7.35；MA50高于MA200</w:t>
      </w:r>
    </w:p>
    <w:p>
      <w:pPr>
        <w:pStyle w:val="ListBullet"/>
      </w:pPr>
      <w:r>
        <w:t>成交量变化：Volume/MA20=1.03倍；成交量为20日均量的1.03倍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6.37；MA20 7.76；MA50 7.81；MA200 7.35。若后续有效跌破MA50，趋势进一步恶化的概率上升。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当前价格：59.27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RSI：RSI6=40.8；RSI12=43.4；RSI24=44.8；未进入过热见顶评分</w:t>
      </w:r>
    </w:p>
    <w:p>
      <w:pPr>
        <w:pStyle w:val="ListBullet"/>
      </w:pPr>
      <w:r>
        <w:t>MA20/50/200：MA20=61.60；MA50=63.80；MA200=81.61；未满足上升趋势过滤条件</w:t>
      </w:r>
    </w:p>
    <w:p>
      <w:pPr>
        <w:pStyle w:val="ListBullet"/>
      </w:pPr>
      <w:r>
        <w:t>成交量变化：Volume/MA20=0.79倍；成交量为20日均量的0.79倍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59.27；MA20 61.60；MA50 63.80；MA200 81.61。若后续有效跌破MA50，趋势进一步恶化的概率上升。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当前价格：83.35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RSI：RSI6=41.0；RSI12=44.8；RSI24=47.0；未进入过热见顶评分</w:t>
      </w:r>
    </w:p>
    <w:p>
      <w:pPr>
        <w:pStyle w:val="ListBullet"/>
      </w:pPr>
      <w:r>
        <w:t>MA20/50/200：MA20=87.18；MA50=85.44；MA200=92.02；MA20高于MA50</w:t>
      </w:r>
    </w:p>
    <w:p>
      <w:pPr>
        <w:pStyle w:val="ListBullet"/>
      </w:pPr>
      <w:r>
        <w:t>成交量变化：Volume/MA20=0.90倍；成交量为20日均量的0.90倍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83.35；MA20 87.18；MA50 85.44；MA200 92.02。若后续有效跌破MA50，趋势进一步恶化的概率上升。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数据提示：历史数据不足300个交易日，当前仅279个交易日；部分长期均线可能为空。</w:t>
      </w:r>
    </w:p>
    <w:p>
      <w:r>
        <w:t>当前价格：20.28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RSI：RSI6=31.7；RSI12=37.5；RSI24=41.6；未进入过热见顶评分</w:t>
      </w:r>
    </w:p>
    <w:p>
      <w:pPr>
        <w:pStyle w:val="ListBullet"/>
      </w:pPr>
      <w:r>
        <w:t>MA20/50/200：MA20=21.94；MA50=22.41；MA200=27.65；未满足上升趋势过滤条件</w:t>
      </w:r>
    </w:p>
    <w:p>
      <w:pPr>
        <w:pStyle w:val="ListBullet"/>
      </w:pPr>
      <w:r>
        <w:t>成交量变化：Volume/MA20=1.36倍；成交量为20日均量的1.36倍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20.28；MA20 21.94；MA50 22.41；MA200 27.65。若后续有效跌破MA50，趋势进一步恶化的概率上升。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当前价格：96.74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RSI：RSI6=33.8；RSI12=39.2；RSI24=43.5；未进入过热见顶评分</w:t>
      </w:r>
    </w:p>
    <w:p>
      <w:pPr>
        <w:pStyle w:val="ListBullet"/>
      </w:pPr>
      <w:r>
        <w:t>MA20/50/200：MA20=108.31；MA50=113.32；MA200=104.33；MA50高于MA200</w:t>
      </w:r>
    </w:p>
    <w:p>
      <w:pPr>
        <w:pStyle w:val="ListBullet"/>
      </w:pPr>
      <w:r>
        <w:t>成交量变化：Volume/MA20=0.98倍；成交量为20日均量的0.98倍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96.74；MA20 108.31；MA50 113.32；MA200 104.33。若后续有效跌破MA50，趋势进一步恶化的概率上升。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当前价格：13.87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RSI：RSI6=25.5；RSI12=35.8；RSI24=41.1；未进入过热见顶评分</w:t>
      </w:r>
    </w:p>
    <w:p>
      <w:pPr>
        <w:pStyle w:val="ListBullet"/>
      </w:pPr>
      <w:r>
        <w:t>MA20/50/200：MA20=15.57；MA50=15.24；MA200=19.98；MA20高于MA50</w:t>
      </w:r>
    </w:p>
    <w:p>
      <w:pPr>
        <w:pStyle w:val="ListBullet"/>
      </w:pPr>
      <w:r>
        <w:t>成交量变化：Volume/MA20=0.99倍；成交量为20日均量的0.99倍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13.87；MA20 15.57；MA50 15.24；MA200 19.98。若后续有效跌破MA50，趋势进一步恶化的概率上升。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当前价格：7.20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RSI：RSI6=29.6；RSI12=37.6；RSI24=43.1；未进入过热见顶评分</w:t>
      </w:r>
    </w:p>
    <w:p>
      <w:pPr>
        <w:pStyle w:val="ListBullet"/>
      </w:pPr>
      <w:r>
        <w:t>MA20/50/200：MA20=7.80；MA50=7.96；MA200=9.51；未满足上升趋势过滤条件</w:t>
      </w:r>
    </w:p>
    <w:p>
      <w:pPr>
        <w:pStyle w:val="ListBullet"/>
      </w:pPr>
      <w:r>
        <w:t>成交量变化：Volume/MA20=1.07倍；成交量为20日均量的1.07倍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7.20；MA20 7.80；MA50 7.96；MA200 9.51。若后续有效跌破MA50，趋势进一步恶化的概率上升。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