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报告日期：2026-09-11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90.60</w:t>
            </w:r>
          </w:p>
        </w:tc>
        <w:tc>
          <w:tcPr>
            <w:tcW w:type="dxa" w:w="1440"/>
          </w:tcPr>
          <w:p>
            <w:r>
              <w:t>MACD动能衰减；RSI多头结构破坏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7.10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59.86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88.99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21.13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105.36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14.35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当前价格：90.60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RSI：RSI6=46.4；RSI12=54.2；RSI24=54.8；RSI空头排列</w:t>
      </w:r>
    </w:p>
    <w:p>
      <w:pPr>
        <w:pStyle w:val="ListBullet"/>
      </w:pPr>
      <w:r>
        <w:t>MA20/50/200：MA20=88.41；MA50=74.40；MA200=85.53；均线结构暂无明显风险</w:t>
      </w:r>
    </w:p>
    <w:p>
      <w:pPr>
        <w:pStyle w:val="ListBullet"/>
      </w:pPr>
      <w:r>
        <w:t>成交量变化：Volume/MA20=0.69倍；成交量为20日均量的0.69倍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r>
        <w:t>判断：健康上涨或正常波动。MACD柱连续3天缩短；KDJ暂无明显风险；RSI空头排列。</w:t>
      </w:r>
    </w:p>
    <w:p>
      <w:r>
        <w:t>建议观察位置：当前价格 90.60；MA20 88.41；MA50 74.40；MA200 85.53。若后续有效跌破MA50，趋势进一步恶化的概率上升。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当前价格：7.10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RSI：RSI6=29.7；RSI12=38.9；RSI24=44.0；未进入过热见顶评分</w:t>
      </w:r>
    </w:p>
    <w:p>
      <w:pPr>
        <w:pStyle w:val="ListBullet"/>
      </w:pPr>
      <w:r>
        <w:t>MA20/50/200：MA20=8.09；MA50=8.03；MA200=7.28；MA20高于MA50；MA50高于MA200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7.10；MA20 8.09；MA50 8.03；MA200 7.28。若后续有效跌破MA50，趋势进一步恶化的概率上升。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当前价格：59.86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RSI：RSI6=41.6；RSI12=44.0；RSI24=45.1；未进入过热见顶评分</w:t>
      </w:r>
    </w:p>
    <w:p>
      <w:pPr>
        <w:pStyle w:val="ListBullet"/>
      </w:pPr>
      <w:r>
        <w:t>MA20/50/200：MA20=63.16；MA50=65.04；MA200=81.55；未满足上升趋势过滤条件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59.86；MA20 63.16；MA50 65.04；MA200 81.55。若后续有效跌破MA50，趋势进一步恶化的概率上升。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当前价格：88.99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RSI：RSI6=48.5；RSI12=50.0；RSI24=49.6；未进入过热见顶评分</w:t>
      </w:r>
    </w:p>
    <w:p>
      <w:pPr>
        <w:pStyle w:val="ListBullet"/>
      </w:pPr>
      <w:r>
        <w:t>MA20/50/200：MA20=90.04；MA50=85.53；MA200=91.88；收盘价站上MA50；MA20高于MA50</w:t>
      </w:r>
    </w:p>
    <w:p>
      <w:pPr>
        <w:pStyle w:val="ListBullet"/>
      </w:pPr>
      <w:r>
        <w:t>成交量变化：Volume/MA20=0.77倍；成交量为20日均量的0.77倍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88.99；MA20 90.04；MA50 85.53；MA200 91.88。若后续有效跌破MA50，趋势进一步恶化的概率上升。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数据提示：历史数据不足300个交易日，当前仅276个交易日；部分长期均线可能为空。</w:t>
      </w:r>
    </w:p>
    <w:p>
      <w:r>
        <w:t>当前价格：21.13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RSI：RSI6=40.1；RSI12=41.4；RSI24=43.2；未进入过热见顶评分</w:t>
      </w:r>
    </w:p>
    <w:p>
      <w:pPr>
        <w:pStyle w:val="ListBullet"/>
      </w:pPr>
      <w:r>
        <w:t>MA20/50/200：MA20=22.84；MA50=22.82；MA200=27.60；MA20高于MA50</w:t>
      </w:r>
    </w:p>
    <w:p>
      <w:pPr>
        <w:pStyle w:val="ListBullet"/>
      </w:pPr>
      <w:r>
        <w:t>成交量变化：Volume/MA20=0.81倍；成交量为20日均量的0.81倍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21.13；MA20 22.84；MA50 22.82；MA200 27.60。若后续有效跌破MA50，趋势进一步恶化的概率上升。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当前价格：105.36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RSI：RSI6=43.6；RSI12=44.0；RSI24=45.7；未进入过热见顶评分</w:t>
      </w:r>
    </w:p>
    <w:p>
      <w:pPr>
        <w:pStyle w:val="ListBullet"/>
      </w:pPr>
      <w:r>
        <w:t>MA20/50/200：MA20=115.75；MA50=114.74；MA200=103.24；MA20高于MA50；收盘价站上MA200；MA50高于MA200</w:t>
      </w:r>
    </w:p>
    <w:p>
      <w:pPr>
        <w:pStyle w:val="ListBullet"/>
      </w:pPr>
      <w:r>
        <w:t>成交量变化：Volume/MA20=0.58倍；成交量为20日均量的0.58倍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105.36；MA20 115.75；MA50 114.74；MA200 103.24。若后续有效跌破MA50，趋势进一步恶化的概率上升。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当前价格：14.35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RSI：RSI6=31.1；RSI12=38.7；RSI24=42.3；未进入过热见顶评分</w:t>
      </w:r>
    </w:p>
    <w:p>
      <w:pPr>
        <w:pStyle w:val="ListBullet"/>
      </w:pPr>
      <w:r>
        <w:t>MA20/50/200：MA20=16.42；MA50=15.53；MA200=19.91；MA20高于MA50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14.35；MA20 16.42；MA50 15.53；MA200 19.91。若后续有效跌破MA50，趋势进一步恶化的概率上升。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当前价格：7.23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RSI：RSI6=30.5；RSI12=38.0；RSI24=43.3；未进入过热见顶评分</w:t>
      </w:r>
    </w:p>
    <w:p>
      <w:pPr>
        <w:pStyle w:val="ListBullet"/>
      </w:pPr>
      <w:r>
        <w:t>MA20/50/200：MA20=8.08；MA50=7.98；MA200=9.53；MA20高于MA50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7.23；MA20 8.08；MA50 7.98；MA200 9.53。若后续有效跌破MA50，趋势进一步恶化的概率上升。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