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报告日期：2026-09-11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88.99</w:t>
            </w:r>
          </w:p>
        </w:tc>
        <w:tc>
          <w:tcPr>
            <w:tcW w:type="dxa" w:w="1234"/>
          </w:tcPr>
          <w:p>
            <w:r>
              <w:t>跌破MA5；RSI6掉头向下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90.60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21.13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105.36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59.86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7.10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14.35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7.23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CRWV</w:t>
      </w:r>
    </w:p>
    <w:p>
      <w:r>
        <w:t>当前价格：88.99</w:t>
      </w:r>
    </w:p>
    <w:p>
      <w:r>
        <w:t>短线状态：短线反弹初步成立；反弹确认分：4</w:t>
      </w:r>
    </w:p>
    <w:p>
      <w:r>
        <w:t>短线风险分：2；风险等级：短线反弹正常</w:t>
      </w:r>
    </w:p>
    <w:p>
      <w:r>
        <w:t>指标摘要：RSI6/RSI12=48.5/50.0；K/D/J=47.4/46.3/49.4；偏离MA20=-1.16%；近5日涨幅=5.24%；量能=0.77倍。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跌破MA5</w:t>
      </w:r>
    </w:p>
    <w:p>
      <w:pPr>
        <w:pStyle w:val="ListBullet"/>
      </w:pPr>
      <w:r>
        <w:t>RSI6掉头向下</w:t>
      </w:r>
    </w:p>
    <w:p>
      <w:r>
        <w:t>建议观察位置：当前价格 88.99；MA5 92.45；MA10 87.87；MA20 90.04。若跌破MA5，短线反弹降温；若跌破MA20，反弹结构可能明显转弱。</w:t>
      </w:r>
    </w:p>
    <w:p>
      <w:pPr>
        <w:pStyle w:val="Heading3"/>
      </w:pPr>
      <w:r>
        <w:t>CRCL</w:t>
      </w:r>
    </w:p>
    <w:p>
      <w:r>
        <w:t>当前价格：90.60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指标摘要：RSI6/RSI12=46.4/54.2；K/D/J=42.7/57.4/13.4；偏离MA20=2.48%；近5日涨幅=-12.23%；量能=0.69倍。</w:t>
      </w:r>
    </w:p>
    <w:p>
      <w:r>
        <w:t>反弹成立条件：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90.60；MA5 94.43；MA10 93.62；MA20 88.41。若跌破MA5，短线反弹降温；若跌破MA20，反弹结构可能明显转弱。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当前价格：21.13</w:t>
      </w:r>
    </w:p>
    <w:p>
      <w:r>
        <w:t>短线状态：未形成短线反弹；反弹确认分：2</w:t>
      </w:r>
    </w:p>
    <w:p>
      <w:r>
        <w:t>短线风险分：0；风险等级：未形成短线反弹，不进入过热评分</w:t>
      </w:r>
    </w:p>
    <w:p>
      <w:r>
        <w:t>指标摘要：RSI6/RSI12=40.1/41.4；K/D/J=31.7/32.0/31.1；偏离MA20=-7.47%；近5日涨幅=0.33%；量能=0.81倍。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21.13；MA5 21.68；MA10 21.36；MA20 22.84。若跌破MA5，短线反弹降温；若跌破MA20，反弹结构可能明显转弱。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当前价格：105.36</w:t>
      </w:r>
    </w:p>
    <w:p>
      <w:r>
        <w:t>短线状态：未形成短线反弹；反弹确认分：2</w:t>
      </w:r>
    </w:p>
    <w:p>
      <w:r>
        <w:t>短线风险分：0；风险等级：未形成短线反弹，不进入过热评分</w:t>
      </w:r>
    </w:p>
    <w:p>
      <w:r>
        <w:t>指标摘要：RSI6/RSI12=43.6/44.0；K/D/J=39.3/34.5/48.9；偏离MA20=-8.98%；近5日涨幅=4.96%；量能=0.58倍。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105.36；MA5 106.73；MA10 105.45；MA20 115.75。若跌破MA5，短线反弹降温；若跌破MA20，反弹结构可能明显转弱。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当前价格：59.86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指标摘要：RSI6/RSI12=41.6/44.0；K/D/J=46.5/47.4/44.6；偏离MA20=-5.22%；近5日涨幅=-3.65%；量能=0.70倍。</w:t>
      </w:r>
    </w:p>
    <w:p>
      <w:r>
        <w:t>反弹成立条件：</w:t>
      </w:r>
    </w:p>
    <w:p>
      <w:pPr>
        <w:pStyle w:val="ListBullet"/>
      </w:pPr>
      <w:r>
        <w:t>MA5高于MA10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59.86；MA5 62.12；MA10 60.81；MA20 63.16。若跌破MA5，短线反弹降温；若跌破MA20，反弹结构可能明显转弱。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当前价格：7.10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指标摘要：RSI6/RSI12=29.7/38.9；K/D/J=17.4/25.0/2.2；偏离MA20=-12.26%；近5日涨幅=-8.51%；量能=0.98倍。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7.10；MA5 7.47；MA10 7.66；MA20 8.09。若跌破MA5，短线反弹降温；若跌破MA20，反弹结构可能明显转弱。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当前价格：14.35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指标摘要：RSI6/RSI12=31.1/38.7；K/D/J=17.8/21.3/10.8；偏离MA20=-12.61%；近5日涨幅=-2.38%；量能=0.70倍。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14.35；MA5 14.88；MA10 14.94；MA20 16.42。若跌破MA5，短线反弹降温；若跌破MA20，反弹结构可能明显转弱。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当前价格：7.23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指标摘要：RSI6/RSI12=30.5/38.0；K/D/J=22.3/23.0/20.8；偏离MA20=-10.51%；近5日涨幅=-5.24%；量能=0.67倍。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7.23；MA5 7.40；MA10 7.48；MA20 8.08。若跌破MA5，短线反弹降温；若跌破MA20，反弹结构可能明显转弱。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